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511FC">
      <w:pPr>
        <w:spacing w:line="600" w:lineRule="atLeast"/>
        <w:jc w:val="center"/>
        <w:rPr>
          <w:rFonts w:ascii="宋体" w:hAnsi="宋体"/>
          <w:b/>
          <w:bCs/>
          <w:sz w:val="44"/>
          <w:szCs w:val="44"/>
        </w:rPr>
      </w:pPr>
      <w:r>
        <w:rPr>
          <w:rFonts w:hint="eastAsia" w:ascii="宋体" w:hAnsi="宋体"/>
          <w:b/>
          <w:bCs/>
          <w:sz w:val="44"/>
          <w:szCs w:val="44"/>
        </w:rPr>
        <w:t>龙港市瓦海线农村公路改造提升工程</w:t>
      </w:r>
    </w:p>
    <w:p w14:paraId="3A901842">
      <w:pPr>
        <w:pStyle w:val="3"/>
        <w:ind w:firstLine="280"/>
      </w:pPr>
    </w:p>
    <w:p w14:paraId="380065DB">
      <w:pPr>
        <w:spacing w:line="600" w:lineRule="atLeast"/>
        <w:jc w:val="center"/>
        <w:rPr>
          <w:rFonts w:ascii="黑体" w:eastAsia="黑体"/>
          <w:b/>
          <w:color w:val="000000"/>
          <w:sz w:val="48"/>
          <w:szCs w:val="48"/>
        </w:rPr>
      </w:pPr>
      <w:r>
        <w:rPr>
          <w:rFonts w:hint="eastAsia" w:ascii="黑体" w:eastAsia="黑体"/>
          <w:b/>
          <w:color w:val="000000"/>
          <w:sz w:val="48"/>
          <w:szCs w:val="48"/>
        </w:rPr>
        <w:t>工 程 预 算 书</w:t>
      </w:r>
    </w:p>
    <w:p w14:paraId="27280AAC">
      <w:pPr>
        <w:spacing w:line="520" w:lineRule="exact"/>
        <w:rPr>
          <w:rFonts w:ascii="黑体" w:eastAsia="黑体"/>
          <w:color w:val="000000"/>
          <w:sz w:val="28"/>
          <w:szCs w:val="28"/>
        </w:rPr>
      </w:pPr>
      <w:r>
        <w:rPr>
          <w:rFonts w:hint="eastAsia" w:ascii="黑体" w:eastAsia="黑体"/>
          <w:color w:val="000000"/>
          <w:sz w:val="28"/>
          <w:szCs w:val="28"/>
        </w:rPr>
        <w:t xml:space="preserve"> </w:t>
      </w:r>
    </w:p>
    <w:p w14:paraId="7D498347">
      <w:pPr>
        <w:spacing w:line="520" w:lineRule="exact"/>
        <w:rPr>
          <w:rFonts w:ascii="黑体" w:eastAsia="黑体"/>
          <w:color w:val="000000"/>
          <w:sz w:val="28"/>
          <w:szCs w:val="28"/>
        </w:rPr>
      </w:pPr>
    </w:p>
    <w:p w14:paraId="651E35B7">
      <w:pPr>
        <w:spacing w:line="520" w:lineRule="exact"/>
        <w:rPr>
          <w:rFonts w:ascii="宋体" w:hAnsi="宋体" w:cs="宋体"/>
          <w:color w:val="000000"/>
          <w:sz w:val="28"/>
          <w:szCs w:val="28"/>
        </w:rPr>
      </w:pPr>
      <w:r>
        <w:rPr>
          <w:rFonts w:hint="eastAsia" w:ascii="黑体" w:eastAsia="黑体"/>
          <w:b/>
          <w:color w:val="000000"/>
          <w:sz w:val="28"/>
          <w:szCs w:val="28"/>
        </w:rPr>
        <w:t>工程预算总造价（小写）：</w:t>
      </w:r>
      <w:r>
        <w:rPr>
          <w:rFonts w:hint="eastAsia" w:ascii="黑体" w:eastAsia="黑体"/>
          <w:b/>
          <w:color w:val="000000"/>
          <w:sz w:val="28"/>
          <w:szCs w:val="28"/>
          <w:u w:val="single"/>
          <w:lang w:val="en-US" w:eastAsia="zh-CN"/>
        </w:rPr>
        <w:t>1624697</w:t>
      </w:r>
      <w:r>
        <w:rPr>
          <w:rFonts w:hint="eastAsia" w:ascii="黑体" w:eastAsia="黑体"/>
          <w:b/>
          <w:color w:val="000000"/>
          <w:sz w:val="28"/>
          <w:szCs w:val="28"/>
          <w:u w:val="single"/>
        </w:rPr>
        <w:t xml:space="preserve">元                      </w:t>
      </w:r>
    </w:p>
    <w:p w14:paraId="130EA31F">
      <w:pPr>
        <w:rPr>
          <w:rFonts w:ascii="黑体" w:eastAsia="黑体"/>
          <w:color w:val="000000"/>
          <w:sz w:val="26"/>
          <w:szCs w:val="28"/>
        </w:rPr>
      </w:pPr>
      <w:r>
        <w:rPr>
          <w:rFonts w:hint="eastAsia" w:ascii="黑体" w:eastAsia="黑体"/>
          <w:b/>
          <w:color w:val="000000"/>
          <w:sz w:val="28"/>
          <w:szCs w:val="28"/>
        </w:rPr>
        <w:t xml:space="preserve">              （大写）：</w:t>
      </w:r>
      <w:r>
        <w:rPr>
          <w:rFonts w:hint="eastAsia" w:ascii="黑体" w:eastAsia="黑体"/>
          <w:b/>
          <w:color w:val="000000"/>
          <w:sz w:val="28"/>
          <w:szCs w:val="28"/>
          <w:u w:val="single"/>
          <w:lang w:val="en-US" w:eastAsia="zh-CN"/>
        </w:rPr>
        <w:t>壹佰陆拾贰万肆仟陆佰玖拾柒</w:t>
      </w:r>
      <w:r>
        <w:rPr>
          <w:rFonts w:hint="eastAsia" w:ascii="黑体" w:eastAsia="黑体"/>
          <w:b/>
          <w:color w:val="000000"/>
          <w:sz w:val="28"/>
          <w:szCs w:val="28"/>
          <w:u w:val="single"/>
        </w:rPr>
        <w:t xml:space="preserve">元整 </w:t>
      </w:r>
    </w:p>
    <w:p w14:paraId="1A02ABB9">
      <w:pPr>
        <w:spacing w:line="600" w:lineRule="atLeast"/>
        <w:rPr>
          <w:rFonts w:ascii="黑体" w:eastAsia="黑体"/>
          <w:color w:val="000000"/>
          <w:sz w:val="28"/>
          <w:szCs w:val="28"/>
        </w:rPr>
      </w:pPr>
      <w:bookmarkStart w:id="1" w:name="_GoBack"/>
      <w:bookmarkEnd w:id="1"/>
    </w:p>
    <w:p w14:paraId="6FA33498">
      <w:pPr>
        <w:spacing w:line="600" w:lineRule="atLeast"/>
        <w:rPr>
          <w:rFonts w:ascii="黑体" w:eastAsia="黑体"/>
          <w:color w:val="000000"/>
          <w:sz w:val="28"/>
          <w:szCs w:val="28"/>
        </w:rPr>
      </w:pPr>
    </w:p>
    <w:p w14:paraId="3EE3E7E8">
      <w:pPr>
        <w:spacing w:line="600" w:lineRule="atLeast"/>
        <w:ind w:firstLine="3767" w:firstLineChars="1340"/>
        <w:rPr>
          <w:rFonts w:ascii="黑体" w:eastAsia="黑体"/>
          <w:b/>
          <w:color w:val="000000"/>
          <w:sz w:val="28"/>
          <w:szCs w:val="28"/>
        </w:rPr>
      </w:pPr>
      <w:r>
        <w:rPr>
          <w:rFonts w:hint="eastAsia" w:ascii="黑体" w:eastAsia="黑体"/>
          <w:b/>
          <w:color w:val="000000"/>
          <w:sz w:val="28"/>
          <w:szCs w:val="28"/>
        </w:rPr>
        <w:t xml:space="preserve">             </w:t>
      </w:r>
    </w:p>
    <w:p w14:paraId="7D23460A">
      <w:pPr>
        <w:spacing w:line="600" w:lineRule="atLeast"/>
        <w:rPr>
          <w:rFonts w:ascii="黑体" w:eastAsia="黑体"/>
          <w:b/>
          <w:color w:val="000000"/>
          <w:sz w:val="28"/>
          <w:szCs w:val="28"/>
          <w:u w:val="single"/>
        </w:rPr>
      </w:pPr>
      <w:r>
        <w:rPr>
          <w:rFonts w:hint="eastAsia" w:ascii="黑体" w:eastAsia="黑体"/>
          <w:b/>
          <w:color w:val="000000"/>
          <w:sz w:val="28"/>
          <w:szCs w:val="28"/>
        </w:rPr>
        <w:t>招 标 人：</w:t>
      </w:r>
      <w:r>
        <w:rPr>
          <w:rFonts w:hint="eastAsia" w:ascii="黑体" w:eastAsia="黑体"/>
          <w:b/>
          <w:color w:val="000000"/>
          <w:sz w:val="28"/>
          <w:szCs w:val="28"/>
          <w:u w:val="single"/>
        </w:rPr>
        <w:t xml:space="preserve">    </w:t>
      </w:r>
      <w:r>
        <w:rPr>
          <w:rFonts w:hint="eastAsia" w:ascii="黑体" w:eastAsia="黑体"/>
          <w:b/>
          <w:color w:val="000000"/>
          <w:sz w:val="18"/>
          <w:szCs w:val="18"/>
          <w:u w:val="single"/>
        </w:rPr>
        <w:t xml:space="preserve">            </w:t>
      </w:r>
      <w:r>
        <w:rPr>
          <w:rFonts w:hint="eastAsia" w:ascii="黑体" w:eastAsia="黑体"/>
          <w:b/>
          <w:color w:val="000000"/>
          <w:sz w:val="28"/>
          <w:szCs w:val="28"/>
          <w:u w:val="single"/>
        </w:rPr>
        <w:t xml:space="preserve">      </w:t>
      </w:r>
      <w:r>
        <w:rPr>
          <w:rFonts w:hint="eastAsia" w:ascii="黑体" w:eastAsia="黑体"/>
          <w:b/>
          <w:color w:val="000000"/>
          <w:sz w:val="28"/>
          <w:szCs w:val="28"/>
        </w:rPr>
        <w:t xml:space="preserve">        造价咨询人：</w:t>
      </w:r>
      <w:r>
        <w:rPr>
          <w:rFonts w:hint="eastAsia" w:ascii="黑体" w:eastAsia="黑体"/>
          <w:b/>
          <w:color w:val="000000"/>
          <w:sz w:val="28"/>
          <w:szCs w:val="28"/>
          <w:u w:val="single"/>
        </w:rPr>
        <w:t xml:space="preserve">  </w:t>
      </w:r>
      <w:r>
        <w:rPr>
          <w:rFonts w:hint="eastAsia" w:ascii="黑体" w:eastAsia="黑体"/>
          <w:b/>
          <w:color w:val="000000"/>
          <w:sz w:val="18"/>
          <w:szCs w:val="18"/>
          <w:u w:val="single"/>
        </w:rPr>
        <w:t xml:space="preserve">  </w:t>
      </w:r>
      <w:r>
        <w:rPr>
          <w:rFonts w:hint="eastAsia" w:ascii="黑体" w:eastAsia="黑体"/>
          <w:b/>
          <w:color w:val="000000"/>
          <w:sz w:val="28"/>
          <w:szCs w:val="28"/>
          <w:u w:val="single"/>
        </w:rPr>
        <w:t xml:space="preserve">                  </w:t>
      </w:r>
      <w:r>
        <w:rPr>
          <w:rFonts w:hint="eastAsia" w:ascii="黑体" w:eastAsia="黑体"/>
          <w:b/>
          <w:color w:val="000000"/>
          <w:sz w:val="28"/>
          <w:szCs w:val="28"/>
        </w:rPr>
        <w:t xml:space="preserve">    </w:t>
      </w:r>
      <w:r>
        <w:rPr>
          <w:rFonts w:hint="eastAsia" w:ascii="黑体" w:eastAsia="黑体"/>
          <w:b/>
          <w:color w:val="000000"/>
          <w:sz w:val="28"/>
          <w:szCs w:val="28"/>
          <w:u w:val="single"/>
        </w:rPr>
        <w:t xml:space="preserve">              </w:t>
      </w:r>
      <w:r>
        <w:rPr>
          <w:rFonts w:hint="eastAsia" w:ascii="黑体" w:eastAsia="黑体"/>
          <w:b/>
          <w:color w:val="000000"/>
          <w:sz w:val="18"/>
          <w:szCs w:val="18"/>
          <w:u w:val="single"/>
        </w:rPr>
        <w:t xml:space="preserve"> </w:t>
      </w:r>
      <w:r>
        <w:rPr>
          <w:rFonts w:hint="eastAsia" w:ascii="黑体" w:eastAsia="黑体"/>
          <w:b/>
          <w:color w:val="000000"/>
          <w:sz w:val="28"/>
          <w:szCs w:val="28"/>
          <w:u w:val="single"/>
        </w:rPr>
        <w:t xml:space="preserve"> </w:t>
      </w:r>
    </w:p>
    <w:p w14:paraId="2C3F51D6">
      <w:pPr>
        <w:spacing w:line="100" w:lineRule="atLeast"/>
        <w:ind w:firstLine="1988" w:firstLineChars="1100"/>
        <w:rPr>
          <w:rFonts w:ascii="黑体" w:eastAsia="黑体"/>
          <w:b/>
          <w:color w:val="000000"/>
          <w:sz w:val="28"/>
          <w:szCs w:val="28"/>
        </w:rPr>
      </w:pPr>
      <w:r>
        <w:rPr>
          <w:rFonts w:hint="eastAsia" w:ascii="黑体" w:eastAsia="黑体"/>
          <w:b/>
          <w:color w:val="000000"/>
          <w:sz w:val="18"/>
          <w:szCs w:val="18"/>
        </w:rPr>
        <w:t>（单位盖章）                                         （单位资质专用章）</w:t>
      </w:r>
    </w:p>
    <w:p w14:paraId="343FB97E">
      <w:pPr>
        <w:spacing w:line="360" w:lineRule="exact"/>
        <w:rPr>
          <w:rFonts w:ascii="黑体" w:eastAsia="黑体"/>
          <w:b/>
          <w:color w:val="000000"/>
          <w:sz w:val="28"/>
          <w:szCs w:val="28"/>
        </w:rPr>
      </w:pPr>
    </w:p>
    <w:p w14:paraId="60150A74">
      <w:pPr>
        <w:spacing w:line="360" w:lineRule="exact"/>
        <w:rPr>
          <w:rFonts w:ascii="黑体" w:eastAsia="黑体"/>
          <w:b/>
          <w:color w:val="000000"/>
          <w:sz w:val="28"/>
          <w:szCs w:val="28"/>
        </w:rPr>
      </w:pPr>
    </w:p>
    <w:p w14:paraId="42CE1B2D">
      <w:pPr>
        <w:spacing w:line="600" w:lineRule="atLeast"/>
        <w:rPr>
          <w:rFonts w:ascii="黑体" w:eastAsia="黑体"/>
          <w:b/>
          <w:color w:val="000000"/>
          <w:sz w:val="28"/>
          <w:szCs w:val="28"/>
        </w:rPr>
      </w:pPr>
      <w:r>
        <w:rPr>
          <w:rFonts w:hint="eastAsia" w:ascii="黑体" w:eastAsia="黑体"/>
          <w:b/>
          <w:color w:val="000000"/>
          <w:sz w:val="28"/>
          <w:szCs w:val="28"/>
        </w:rPr>
        <w:t>法定代表人                         法定代表人</w:t>
      </w:r>
    </w:p>
    <w:p w14:paraId="06ADDBCF">
      <w:pPr>
        <w:spacing w:line="600" w:lineRule="atLeast"/>
        <w:rPr>
          <w:rFonts w:ascii="黑体" w:eastAsia="黑体"/>
          <w:b/>
          <w:color w:val="000000"/>
          <w:sz w:val="28"/>
          <w:szCs w:val="28"/>
        </w:rPr>
      </w:pPr>
      <w:r>
        <w:rPr>
          <w:rFonts w:hint="eastAsia" w:ascii="黑体" w:eastAsia="黑体"/>
          <w:b/>
          <w:color w:val="000000"/>
          <w:sz w:val="28"/>
          <w:szCs w:val="28"/>
        </w:rPr>
        <w:t>或其授权人：</w:t>
      </w:r>
      <w:r>
        <w:rPr>
          <w:rFonts w:hint="eastAsia" w:ascii="黑体" w:eastAsia="黑体"/>
          <w:b/>
          <w:color w:val="000000"/>
          <w:sz w:val="28"/>
          <w:szCs w:val="28"/>
          <w:u w:val="single"/>
        </w:rPr>
        <w:t xml:space="preserve">                 </w:t>
      </w:r>
      <w:r>
        <w:rPr>
          <w:rFonts w:hint="eastAsia" w:ascii="黑体" w:eastAsia="黑体"/>
          <w:b/>
          <w:color w:val="000000"/>
          <w:sz w:val="28"/>
          <w:szCs w:val="28"/>
        </w:rPr>
        <w:t xml:space="preserve">      或其授权人：</w:t>
      </w:r>
      <w:r>
        <w:rPr>
          <w:rFonts w:hint="eastAsia" w:ascii="黑体" w:eastAsia="黑体"/>
          <w:b/>
          <w:color w:val="000000"/>
          <w:sz w:val="28"/>
          <w:szCs w:val="28"/>
          <w:u w:val="single"/>
        </w:rPr>
        <w:t xml:space="preserve">   </w:t>
      </w:r>
      <w:r>
        <w:rPr>
          <w:rFonts w:hint="eastAsia" w:ascii="黑体" w:eastAsia="黑体"/>
          <w:b/>
          <w:color w:val="000000"/>
          <w:sz w:val="18"/>
          <w:szCs w:val="18"/>
          <w:u w:val="single"/>
        </w:rPr>
        <w:t xml:space="preserve">                          </w:t>
      </w:r>
      <w:r>
        <w:rPr>
          <w:rFonts w:hint="eastAsia" w:ascii="黑体" w:eastAsia="黑体"/>
          <w:b/>
          <w:color w:val="000000"/>
          <w:sz w:val="28"/>
          <w:szCs w:val="28"/>
          <w:u w:val="single"/>
        </w:rPr>
        <w:t xml:space="preserve">    </w:t>
      </w:r>
    </w:p>
    <w:p w14:paraId="3CF6A634">
      <w:pPr>
        <w:spacing w:line="40" w:lineRule="atLeast"/>
        <w:ind w:firstLine="2168" w:firstLineChars="1200"/>
        <w:rPr>
          <w:rFonts w:ascii="黑体" w:eastAsia="黑体"/>
          <w:b/>
          <w:color w:val="000000"/>
          <w:sz w:val="28"/>
          <w:szCs w:val="28"/>
        </w:rPr>
      </w:pPr>
      <w:r>
        <w:rPr>
          <w:rFonts w:hint="eastAsia" w:ascii="黑体" w:eastAsia="黑体"/>
          <w:b/>
          <w:color w:val="000000"/>
          <w:sz w:val="18"/>
          <w:szCs w:val="18"/>
        </w:rPr>
        <w:t>（签字或盖章）                                         （签字或盖章）</w:t>
      </w:r>
    </w:p>
    <w:p w14:paraId="74BA97EF">
      <w:pPr>
        <w:spacing w:line="360" w:lineRule="exact"/>
        <w:rPr>
          <w:rFonts w:ascii="黑体" w:eastAsia="黑体"/>
          <w:b/>
          <w:color w:val="000000"/>
          <w:sz w:val="28"/>
          <w:szCs w:val="28"/>
        </w:rPr>
      </w:pPr>
    </w:p>
    <w:p w14:paraId="4CC9C4BE">
      <w:pPr>
        <w:spacing w:line="360" w:lineRule="exact"/>
        <w:rPr>
          <w:rFonts w:ascii="黑体" w:eastAsia="黑体"/>
          <w:b/>
          <w:color w:val="000000"/>
          <w:sz w:val="28"/>
          <w:szCs w:val="28"/>
        </w:rPr>
      </w:pPr>
    </w:p>
    <w:p w14:paraId="30B33389">
      <w:pPr>
        <w:spacing w:line="600" w:lineRule="atLeast"/>
        <w:rPr>
          <w:rFonts w:ascii="黑体" w:eastAsia="黑体"/>
          <w:b/>
          <w:color w:val="000000"/>
          <w:sz w:val="28"/>
          <w:szCs w:val="28"/>
        </w:rPr>
      </w:pPr>
      <w:r>
        <w:rPr>
          <w:rFonts w:hint="eastAsia" w:ascii="黑体" w:eastAsia="黑体"/>
          <w:b/>
          <w:color w:val="000000"/>
          <w:sz w:val="28"/>
          <w:szCs w:val="28"/>
        </w:rPr>
        <w:t>编 制 人：</w:t>
      </w:r>
      <w:r>
        <w:rPr>
          <w:rFonts w:hint="eastAsia" w:ascii="黑体" w:eastAsia="黑体"/>
          <w:b/>
          <w:color w:val="000000"/>
          <w:sz w:val="28"/>
          <w:szCs w:val="28"/>
          <w:u w:val="single"/>
        </w:rPr>
        <w:t xml:space="preserve">                   </w:t>
      </w:r>
      <w:r>
        <w:rPr>
          <w:rFonts w:hint="eastAsia" w:ascii="黑体" w:eastAsia="黑体"/>
          <w:b/>
          <w:color w:val="000000"/>
          <w:sz w:val="28"/>
          <w:szCs w:val="28"/>
        </w:rPr>
        <w:t xml:space="preserve">      复 核 人：</w:t>
      </w:r>
      <w:r>
        <w:rPr>
          <w:rFonts w:hint="eastAsia" w:ascii="黑体" w:eastAsia="黑体"/>
          <w:b/>
          <w:color w:val="000000"/>
          <w:sz w:val="28"/>
          <w:szCs w:val="28"/>
          <w:u w:val="single"/>
        </w:rPr>
        <w:t xml:space="preserve">                    </w:t>
      </w:r>
    </w:p>
    <w:p w14:paraId="126AF5DF">
      <w:pPr>
        <w:spacing w:line="100" w:lineRule="atLeast"/>
        <w:ind w:firstLine="1446" w:firstLineChars="800"/>
        <w:rPr>
          <w:rFonts w:ascii="黑体" w:eastAsia="黑体"/>
          <w:b/>
          <w:color w:val="000000"/>
          <w:sz w:val="28"/>
          <w:szCs w:val="28"/>
        </w:rPr>
      </w:pPr>
      <w:r>
        <w:rPr>
          <w:rFonts w:hint="eastAsia" w:ascii="黑体" w:eastAsia="黑体"/>
          <w:b/>
          <w:color w:val="000000"/>
          <w:sz w:val="18"/>
          <w:szCs w:val="18"/>
        </w:rPr>
        <w:t>（造价工程师签字盖专用章）                          （造价工程师签字盖专用章）</w:t>
      </w:r>
    </w:p>
    <w:p w14:paraId="6EE32E71">
      <w:pPr>
        <w:rPr>
          <w:rFonts w:ascii="黑体" w:eastAsia="黑体"/>
          <w:b/>
          <w:color w:val="000000"/>
          <w:sz w:val="28"/>
          <w:szCs w:val="28"/>
        </w:rPr>
      </w:pPr>
    </w:p>
    <w:p w14:paraId="508D9A2F">
      <w:pPr>
        <w:rPr>
          <w:rFonts w:ascii="黑体" w:eastAsia="黑体"/>
          <w:b/>
          <w:color w:val="000000"/>
          <w:sz w:val="28"/>
          <w:szCs w:val="28"/>
        </w:rPr>
      </w:pPr>
    </w:p>
    <w:p w14:paraId="258F7336">
      <w:pPr>
        <w:rPr>
          <w:rFonts w:ascii="黑体" w:eastAsia="黑体"/>
          <w:b/>
          <w:color w:val="000000"/>
          <w:sz w:val="28"/>
          <w:szCs w:val="28"/>
        </w:rPr>
      </w:pPr>
      <w:r>
        <w:rPr>
          <w:rFonts w:hint="eastAsia" w:ascii="黑体" w:eastAsia="黑体"/>
          <w:b/>
          <w:color w:val="000000"/>
          <w:sz w:val="28"/>
          <w:szCs w:val="28"/>
        </w:rPr>
        <w:t>编制时间：                          复核时间：</w:t>
      </w:r>
    </w:p>
    <w:p w14:paraId="2FEABF6A">
      <w:pPr>
        <w:spacing w:line="288" w:lineRule="auto"/>
        <w:ind w:firstLine="480" w:firstLineChars="200"/>
        <w:rPr>
          <w:rFonts w:ascii="宋体" w:hAnsi="宋体"/>
          <w:sz w:val="24"/>
        </w:rPr>
      </w:pPr>
    </w:p>
    <w:p w14:paraId="42FA403D">
      <w:pPr>
        <w:spacing w:line="400" w:lineRule="exact"/>
        <w:rPr>
          <w:rFonts w:ascii="宋体" w:hAnsi="宋体"/>
          <w:color w:val="FF0000"/>
          <w:sz w:val="32"/>
          <w:szCs w:val="32"/>
          <w:u w:val="thick"/>
        </w:rPr>
      </w:pPr>
    </w:p>
    <w:p w14:paraId="383A756D">
      <w:pPr>
        <w:pStyle w:val="3"/>
        <w:ind w:firstLine="280"/>
      </w:pPr>
    </w:p>
    <w:p w14:paraId="4F689E5E">
      <w:pPr>
        <w:spacing w:line="400" w:lineRule="exact"/>
        <w:jc w:val="center"/>
        <w:rPr>
          <w:rFonts w:hint="eastAsia" w:ascii="宋体" w:hAnsi="宋体" w:eastAsia="宋体" w:cs="Times New Roman"/>
          <w:sz w:val="32"/>
          <w:szCs w:val="32"/>
        </w:rPr>
      </w:pPr>
      <w:r>
        <w:rPr>
          <w:rFonts w:hint="eastAsia" w:ascii="宋体" w:hAnsi="宋体" w:eastAsia="宋体" w:cs="Times New Roman"/>
          <w:sz w:val="32"/>
          <w:szCs w:val="32"/>
        </w:rPr>
        <w:t>龙港市瓦海线农村公路改造提升工程</w:t>
      </w:r>
    </w:p>
    <w:p w14:paraId="75853C1B">
      <w:pPr>
        <w:spacing w:line="400" w:lineRule="exact"/>
        <w:jc w:val="center"/>
        <w:rPr>
          <w:rFonts w:ascii="宋体" w:hAnsi="宋体"/>
        </w:rPr>
      </w:pPr>
      <w:r>
        <w:rPr>
          <w:rFonts w:hint="eastAsia" w:ascii="宋体" w:hAnsi="宋体"/>
          <w:sz w:val="32"/>
          <w:szCs w:val="32"/>
        </w:rPr>
        <w:t>预算编制说明</w:t>
      </w:r>
    </w:p>
    <w:p w14:paraId="510ABF9B">
      <w:pPr>
        <w:spacing w:line="240" w:lineRule="exact"/>
        <w:rPr>
          <w:rFonts w:ascii="宋体" w:hAnsi="宋体"/>
        </w:rPr>
      </w:pPr>
    </w:p>
    <w:p w14:paraId="685FFDE5">
      <w:pPr>
        <w:spacing w:line="360" w:lineRule="auto"/>
        <w:ind w:left="420"/>
        <w:rPr>
          <w:rFonts w:ascii="宋体" w:hAnsi="宋体"/>
          <w:b/>
          <w:sz w:val="24"/>
          <w:lang w:val="zh-CN"/>
        </w:rPr>
      </w:pPr>
      <w:r>
        <w:rPr>
          <w:rFonts w:hint="eastAsia" w:ascii="宋体" w:hAnsi="宋体"/>
          <w:b/>
          <w:sz w:val="24"/>
          <w:lang w:val="zh-CN"/>
        </w:rPr>
        <w:t>一、工程概况：</w:t>
      </w:r>
    </w:p>
    <w:p w14:paraId="231AD3FE">
      <w:pPr>
        <w:spacing w:line="360" w:lineRule="auto"/>
        <w:ind w:left="420" w:firstLine="480" w:firstLineChars="200"/>
        <w:rPr>
          <w:rFonts w:ascii="宋体" w:hAnsi="宋体"/>
          <w:b/>
          <w:sz w:val="24"/>
          <w:lang w:val="zh-CN"/>
        </w:rPr>
      </w:pPr>
      <w:r>
        <w:rPr>
          <w:rFonts w:hint="eastAsia" w:ascii="宋体" w:hAnsi="宋体"/>
          <w:sz w:val="24"/>
          <w:szCs w:val="32"/>
        </w:rPr>
        <w:t>1</w:t>
      </w:r>
      <w:r>
        <w:rPr>
          <w:rFonts w:hint="eastAsia" w:ascii="宋体" w:hAnsi="宋体" w:cs="宋体"/>
          <w:sz w:val="24"/>
        </w:rPr>
        <w:t>、</w:t>
      </w:r>
      <w:r>
        <w:rPr>
          <w:rFonts w:hint="eastAsia" w:ascii="宋体" w:hAnsi="宋体"/>
          <w:sz w:val="24"/>
          <w:szCs w:val="32"/>
        </w:rPr>
        <w:t>该工程由</w:t>
      </w:r>
      <w:r>
        <w:rPr>
          <w:rFonts w:hint="eastAsia" w:ascii="宋体" w:hAnsi="宋体"/>
          <w:sz w:val="24"/>
          <w:szCs w:val="32"/>
          <w:u w:val="single"/>
        </w:rPr>
        <w:t>龙港市自然资源与规划建设局</w:t>
      </w:r>
      <w:r>
        <w:rPr>
          <w:rFonts w:hint="eastAsia" w:ascii="宋体" w:hAnsi="宋体"/>
          <w:sz w:val="24"/>
          <w:szCs w:val="32"/>
        </w:rPr>
        <w:t>负责建设，由</w:t>
      </w:r>
      <w:r>
        <w:rPr>
          <w:rFonts w:hint="eastAsia" w:ascii="宋体" w:hAnsi="宋体"/>
          <w:sz w:val="24"/>
          <w:szCs w:val="32"/>
          <w:u w:val="single"/>
        </w:rPr>
        <w:t>苍南县设计研究院</w:t>
      </w:r>
      <w:r>
        <w:rPr>
          <w:rFonts w:hint="eastAsia" w:ascii="宋体" w:hAnsi="宋体"/>
          <w:sz w:val="24"/>
          <w:szCs w:val="32"/>
        </w:rPr>
        <w:t>负责施工图设计。工程建设地点</w:t>
      </w:r>
      <w:r>
        <w:rPr>
          <w:rFonts w:hint="eastAsia" w:ascii="宋体" w:hAnsi="宋体"/>
          <w:sz w:val="24"/>
          <w:szCs w:val="32"/>
          <w:u w:val="single"/>
        </w:rPr>
        <w:t>龙港市</w:t>
      </w:r>
      <w:r>
        <w:rPr>
          <w:rFonts w:hint="eastAsia" w:ascii="宋体" w:hAnsi="宋体"/>
          <w:sz w:val="24"/>
          <w:szCs w:val="32"/>
        </w:rPr>
        <w:t>。</w:t>
      </w:r>
    </w:p>
    <w:p w14:paraId="6DD8E4D9">
      <w:pPr>
        <w:spacing w:line="360" w:lineRule="auto"/>
        <w:ind w:left="420" w:firstLine="480" w:firstLineChars="200"/>
        <w:rPr>
          <w:rFonts w:ascii="宋体" w:hAnsi="宋体"/>
          <w:sz w:val="24"/>
          <w:szCs w:val="32"/>
        </w:rPr>
      </w:pPr>
      <w:r>
        <w:rPr>
          <w:rFonts w:hint="eastAsia" w:ascii="宋体" w:hAnsi="宋体"/>
          <w:sz w:val="24"/>
          <w:szCs w:val="32"/>
        </w:rPr>
        <w:t>2、龙港市瓦海线农村公路改造提升工程主要工作内容如下：</w:t>
      </w:r>
    </w:p>
    <w:p w14:paraId="34F18FCC">
      <w:pPr>
        <w:spacing w:line="360" w:lineRule="auto"/>
        <w:ind w:left="420" w:firstLine="480" w:firstLineChars="200"/>
      </w:pPr>
      <w:r>
        <w:rPr>
          <w:rFonts w:hint="eastAsia" w:ascii="宋体" w:hAnsi="宋体"/>
          <w:sz w:val="24"/>
          <w:szCs w:val="32"/>
        </w:rPr>
        <w:t>路基、路面：主要工作内容为8cm厚碎石调整层</w:t>
      </w:r>
      <w:r>
        <w:rPr>
          <w:rFonts w:hint="eastAsia" w:ascii="宋体" w:hAnsi="宋体"/>
          <w:sz w:val="24"/>
          <w:szCs w:val="32"/>
          <w:lang w:eastAsia="zh-CN"/>
        </w:rPr>
        <w:t>（</w:t>
      </w:r>
      <w:r>
        <w:rPr>
          <w:rFonts w:hint="eastAsia" w:ascii="宋体" w:hAnsi="宋体"/>
          <w:sz w:val="24"/>
          <w:szCs w:val="32"/>
        </w:rPr>
        <w:t>局部</w:t>
      </w:r>
      <w:r>
        <w:rPr>
          <w:rFonts w:hint="eastAsia" w:ascii="宋体" w:hAnsi="宋体"/>
          <w:sz w:val="24"/>
          <w:szCs w:val="32"/>
          <w:lang w:eastAsia="zh-CN"/>
        </w:rPr>
        <w:t>）</w:t>
      </w:r>
      <w:r>
        <w:rPr>
          <w:rFonts w:hint="eastAsia" w:ascii="宋体" w:hAnsi="宋体"/>
          <w:sz w:val="24"/>
          <w:szCs w:val="32"/>
        </w:rPr>
        <w:t>+18cm 厚C30混凝土路面（局部原路面修复）+ 6cm厚AC-13C型细粒式沥青混凝土</w:t>
      </w:r>
    </w:p>
    <w:p w14:paraId="40DC5681">
      <w:pPr>
        <w:spacing w:line="360" w:lineRule="auto"/>
        <w:ind w:left="420" w:firstLine="480" w:firstLineChars="200"/>
      </w:pPr>
      <w:r>
        <w:rPr>
          <w:rFonts w:hint="eastAsia" w:ascii="宋体" w:hAnsi="宋体"/>
          <w:sz w:val="24"/>
          <w:szCs w:val="32"/>
        </w:rPr>
        <w:t>交通安全设施及其它附属：主要工作内容为热熔标线、标志牌、减速垄、原有波形护栏拆除重装、检查井提升、雨水口提升、管道疏通等</w:t>
      </w:r>
      <w:r>
        <w:rPr>
          <w:rFonts w:hint="eastAsia" w:ascii="宋体" w:hAnsi="宋体"/>
          <w:sz w:val="24"/>
          <w:szCs w:val="32"/>
          <w:lang w:eastAsia="zh-CN"/>
        </w:rPr>
        <w:t>，</w:t>
      </w:r>
      <w:r>
        <w:rPr>
          <w:rFonts w:hint="eastAsia" w:ascii="宋体" w:hAnsi="宋体"/>
          <w:sz w:val="24"/>
          <w:szCs w:val="32"/>
          <w:lang w:val="en-US" w:eastAsia="zh-CN"/>
        </w:rPr>
        <w:t>具体详见图纸</w:t>
      </w:r>
      <w:r>
        <w:rPr>
          <w:rFonts w:hint="eastAsia" w:ascii="宋体" w:hAnsi="宋体"/>
          <w:sz w:val="24"/>
          <w:szCs w:val="32"/>
        </w:rPr>
        <w:t>。</w:t>
      </w:r>
    </w:p>
    <w:p w14:paraId="0F1AB9E1">
      <w:pPr>
        <w:spacing w:line="420" w:lineRule="exact"/>
        <w:ind w:left="142" w:firstLine="241" w:firstLineChars="100"/>
        <w:rPr>
          <w:rFonts w:ascii="宋体" w:hAnsi="宋体" w:cs="宋体"/>
          <w:b/>
          <w:bCs/>
          <w:sz w:val="24"/>
        </w:rPr>
      </w:pPr>
      <w:r>
        <w:rPr>
          <w:rFonts w:hint="eastAsia" w:ascii="宋体" w:hAnsi="宋体"/>
          <w:b/>
          <w:bCs/>
          <w:sz w:val="24"/>
          <w:szCs w:val="32"/>
        </w:rPr>
        <w:t xml:space="preserve">二、 </w:t>
      </w:r>
      <w:r>
        <w:rPr>
          <w:rFonts w:hint="eastAsia" w:ascii="宋体" w:hAnsi="宋体" w:cs="宋体"/>
          <w:b/>
          <w:bCs/>
          <w:sz w:val="24"/>
        </w:rPr>
        <w:t>编制依据：</w:t>
      </w:r>
    </w:p>
    <w:p w14:paraId="0765BD37">
      <w:pPr>
        <w:widowControl/>
        <w:spacing w:line="360" w:lineRule="auto"/>
        <w:ind w:left="479" w:leftChars="228"/>
        <w:jc w:val="left"/>
        <w:rPr>
          <w:rFonts w:ascii="宋体" w:hAnsi="宋体" w:cs="宋体"/>
          <w:sz w:val="24"/>
          <w:lang w:val="zh-CN"/>
        </w:rPr>
      </w:pPr>
      <w:r>
        <w:rPr>
          <w:rFonts w:hint="eastAsia" w:ascii="宋体" w:hAnsi="宋体" w:cs="宋体"/>
          <w:sz w:val="24"/>
          <w:lang w:val="zh-CN"/>
        </w:rPr>
        <w:t>1、</w:t>
      </w:r>
      <w:r>
        <w:rPr>
          <w:rFonts w:hint="eastAsia" w:ascii="宋体" w:hAnsi="宋体"/>
          <w:sz w:val="24"/>
          <w:szCs w:val="32"/>
        </w:rPr>
        <w:t>龙港市瓦海线农村公路改造提升工程施工图纸；</w:t>
      </w:r>
    </w:p>
    <w:p w14:paraId="2094D913">
      <w:pPr>
        <w:spacing w:line="520" w:lineRule="exact"/>
        <w:ind w:right="-125" w:firstLine="480" w:firstLineChars="200"/>
        <w:rPr>
          <w:rFonts w:ascii="宋体" w:hAnsi="宋体" w:cs="宋体"/>
          <w:sz w:val="24"/>
        </w:rPr>
      </w:pPr>
      <w:r>
        <w:rPr>
          <w:rFonts w:hint="eastAsia" w:ascii="宋体" w:hAnsi="宋体" w:cs="宋体"/>
          <w:sz w:val="24"/>
        </w:rPr>
        <w:t>2、《公路工程建设项目概算预算编制办法》（JTG 3830-2018）；</w:t>
      </w:r>
    </w:p>
    <w:p w14:paraId="020B1878">
      <w:pPr>
        <w:spacing w:line="520" w:lineRule="exact"/>
        <w:ind w:right="-125" w:firstLine="480" w:firstLineChars="200"/>
        <w:rPr>
          <w:rFonts w:ascii="宋体" w:hAnsi="宋体" w:cs="宋体"/>
          <w:sz w:val="24"/>
        </w:rPr>
      </w:pPr>
      <w:r>
        <w:rPr>
          <w:rFonts w:hint="eastAsia" w:ascii="宋体" w:hAnsi="宋体" w:cs="宋体"/>
          <w:sz w:val="24"/>
        </w:rPr>
        <w:t>3、《转发交通运输部2018年第86号公告的通知》（浙交[2019]116号文）；</w:t>
      </w:r>
    </w:p>
    <w:p w14:paraId="565A4919">
      <w:pPr>
        <w:spacing w:line="520" w:lineRule="exact"/>
        <w:ind w:right="-125" w:firstLine="480" w:firstLineChars="200"/>
        <w:rPr>
          <w:rFonts w:ascii="宋体" w:hAnsi="宋体" w:cs="宋体"/>
          <w:sz w:val="24"/>
        </w:rPr>
      </w:pPr>
      <w:r>
        <w:rPr>
          <w:rFonts w:hint="eastAsia" w:ascii="宋体" w:hAnsi="宋体" w:cs="宋体"/>
          <w:sz w:val="24"/>
        </w:rPr>
        <w:t>4、《公路工程预算定额》（JTG/T 3832-2018）；</w:t>
      </w:r>
    </w:p>
    <w:p w14:paraId="38B4CA15">
      <w:pPr>
        <w:spacing w:line="520" w:lineRule="exact"/>
        <w:ind w:right="-125" w:firstLine="480" w:firstLineChars="200"/>
        <w:rPr>
          <w:rFonts w:ascii="宋体" w:hAnsi="宋体" w:cs="宋体"/>
          <w:sz w:val="24"/>
        </w:rPr>
      </w:pPr>
      <w:r>
        <w:rPr>
          <w:rFonts w:hint="eastAsia" w:ascii="宋体" w:hAnsi="宋体" w:cs="宋体"/>
          <w:sz w:val="24"/>
        </w:rPr>
        <w:t>5、《公路工程机械台班费用定额》（JTG/T 3833-2018）；</w:t>
      </w:r>
    </w:p>
    <w:p w14:paraId="5BA6259C">
      <w:pPr>
        <w:spacing w:line="520" w:lineRule="exact"/>
        <w:ind w:right="-125" w:firstLine="480" w:firstLineChars="200"/>
        <w:rPr>
          <w:rFonts w:ascii="宋体" w:hAnsi="宋体" w:cs="宋体"/>
          <w:sz w:val="24"/>
        </w:rPr>
      </w:pPr>
      <w:r>
        <w:rPr>
          <w:rFonts w:hint="eastAsia" w:ascii="宋体" w:hAnsi="宋体" w:cs="宋体"/>
          <w:sz w:val="24"/>
        </w:rPr>
        <w:t>6、关于深化增值税改革有关政策的公告（财政部 税务总局 海关总署公告2019年第39号）</w:t>
      </w:r>
    </w:p>
    <w:p w14:paraId="3FCF9720">
      <w:pPr>
        <w:spacing w:line="480" w:lineRule="auto"/>
        <w:ind w:right="-125" w:firstLine="480" w:firstLineChars="200"/>
        <w:rPr>
          <w:rFonts w:ascii="宋体" w:hAnsi="宋体" w:cs="宋体"/>
          <w:sz w:val="24"/>
        </w:rPr>
      </w:pPr>
      <w:r>
        <w:rPr>
          <w:rFonts w:hint="eastAsia" w:ascii="宋体" w:hAnsi="宋体" w:cs="宋体"/>
          <w:sz w:val="24"/>
        </w:rPr>
        <w:t>7、</w:t>
      </w:r>
      <w:bookmarkStart w:id="0" w:name="OLE_LINK1"/>
      <w:r>
        <w:rPr>
          <w:rFonts w:hint="eastAsia" w:ascii="宋体" w:hAnsi="宋体" w:cs="宋体"/>
          <w:color w:val="000000"/>
          <w:sz w:val="24"/>
          <w:lang w:val="zh-CN"/>
        </w:rPr>
        <w:t>交通运输部 2019年第26号文《交通运输部关于调整《公路工程建设项目投资估算编制办法》(JTG 3820-2018)和《公路基本建设工程概算预算编制办法》(JTG 3830-2018)中“税金”有关规定的公告》</w:t>
      </w:r>
      <w:r>
        <w:rPr>
          <w:rFonts w:hint="eastAsia" w:ascii="宋体" w:hAnsi="宋体" w:cs="宋体"/>
          <w:sz w:val="24"/>
        </w:rPr>
        <w:t>；</w:t>
      </w:r>
      <w:bookmarkEnd w:id="0"/>
    </w:p>
    <w:p w14:paraId="26ADC5EF">
      <w:pPr>
        <w:pStyle w:val="3"/>
        <w:spacing w:line="480" w:lineRule="auto"/>
        <w:ind w:firstLine="480" w:firstLineChars="200"/>
        <w:jc w:val="both"/>
        <w:rPr>
          <w:rFonts w:ascii="宋体" w:hAnsi="宋体" w:cs="宋体"/>
          <w:sz w:val="24"/>
        </w:rPr>
      </w:pPr>
      <w:r>
        <w:rPr>
          <w:rFonts w:hint="eastAsia" w:ascii="宋体" w:hAnsi="宋体" w:cs="宋体"/>
          <w:sz w:val="24"/>
        </w:rPr>
        <w:t>8、本工程预算清单按浙江21新清单计价规范编制，计量支付规则对应浙江公路工程21清单计价规范（DB33/628.1-2021）。</w:t>
      </w:r>
    </w:p>
    <w:p w14:paraId="209A828A">
      <w:pPr>
        <w:pStyle w:val="3"/>
        <w:spacing w:line="480" w:lineRule="auto"/>
        <w:ind w:firstLine="480" w:firstLineChars="200"/>
        <w:jc w:val="both"/>
        <w:rPr>
          <w:rFonts w:ascii="宋体" w:hAnsi="宋体" w:cs="宋体"/>
          <w:sz w:val="24"/>
        </w:rPr>
      </w:pPr>
      <w:r>
        <w:rPr>
          <w:rFonts w:hint="eastAsia" w:ascii="宋体" w:hAnsi="宋体" w:cs="宋体"/>
          <w:sz w:val="24"/>
        </w:rPr>
        <w:t>9、根据《浙江省交通运输厅转发交通运输部</w:t>
      </w:r>
      <w:r>
        <w:rPr>
          <w:rFonts w:ascii="宋体" w:hAnsi="宋体" w:cs="宋体"/>
          <w:sz w:val="24"/>
        </w:rPr>
        <w:t xml:space="preserve">2018 </w:t>
      </w:r>
      <w:r>
        <w:rPr>
          <w:rFonts w:hint="eastAsia" w:ascii="宋体" w:hAnsi="宋体" w:cs="宋体"/>
          <w:sz w:val="24"/>
        </w:rPr>
        <w:t>年第</w:t>
      </w:r>
      <w:r>
        <w:rPr>
          <w:rFonts w:ascii="宋体" w:hAnsi="宋体" w:cs="宋体"/>
          <w:sz w:val="24"/>
        </w:rPr>
        <w:t xml:space="preserve">86 </w:t>
      </w:r>
      <w:r>
        <w:rPr>
          <w:rFonts w:hint="eastAsia" w:ascii="宋体" w:hAnsi="宋体" w:cs="宋体"/>
          <w:sz w:val="24"/>
        </w:rPr>
        <w:t>号公告的通知》（浙交</w:t>
      </w:r>
      <w:r>
        <w:rPr>
          <w:rFonts w:ascii="宋体" w:hAnsi="宋体" w:cs="宋体"/>
          <w:sz w:val="24"/>
        </w:rPr>
        <w:t xml:space="preserve">[2019]116 </w:t>
      </w:r>
      <w:r>
        <w:rPr>
          <w:rFonts w:hint="eastAsia" w:ascii="宋体" w:hAnsi="宋体" w:cs="宋体"/>
          <w:sz w:val="24"/>
        </w:rPr>
        <w:t>号文）人工单价按</w:t>
      </w:r>
      <w:r>
        <w:rPr>
          <w:rFonts w:ascii="宋体" w:hAnsi="宋体" w:cs="宋体"/>
          <w:sz w:val="24"/>
        </w:rPr>
        <w:t xml:space="preserve">127.66 </w:t>
      </w:r>
      <w:r>
        <w:rPr>
          <w:rFonts w:hint="eastAsia" w:ascii="宋体" w:hAnsi="宋体" w:cs="宋体"/>
          <w:sz w:val="24"/>
        </w:rPr>
        <w:t>元</w:t>
      </w:r>
      <w:r>
        <w:rPr>
          <w:rFonts w:ascii="宋体" w:hAnsi="宋体" w:cs="宋体"/>
          <w:sz w:val="24"/>
        </w:rPr>
        <w:t>/</w:t>
      </w:r>
      <w:r>
        <w:rPr>
          <w:rFonts w:hint="eastAsia" w:ascii="宋体" w:hAnsi="宋体" w:cs="宋体"/>
          <w:sz w:val="24"/>
        </w:rPr>
        <w:t>工日。</w:t>
      </w:r>
    </w:p>
    <w:p w14:paraId="12EBA132">
      <w:pPr>
        <w:pStyle w:val="3"/>
        <w:spacing w:line="480" w:lineRule="auto"/>
        <w:ind w:firstLine="480" w:firstLineChars="200"/>
        <w:jc w:val="both"/>
        <w:rPr>
          <w:rFonts w:ascii="宋体" w:hAnsi="宋体" w:cs="宋体"/>
          <w:sz w:val="24"/>
        </w:rPr>
      </w:pPr>
      <w:r>
        <w:rPr>
          <w:rFonts w:hint="eastAsia" w:ascii="宋体" w:hAnsi="宋体" w:cs="宋体"/>
          <w:sz w:val="24"/>
        </w:rPr>
        <w:t>10、主要材料及地方材料价格：浙江交通建设工程《质监与造价》202</w:t>
      </w:r>
      <w:r>
        <w:rPr>
          <w:rFonts w:hint="eastAsia" w:ascii="宋体" w:hAnsi="宋体" w:cs="宋体"/>
          <w:sz w:val="24"/>
          <w:lang w:val="en-US" w:eastAsia="zh-CN"/>
        </w:rPr>
        <w:t>4</w:t>
      </w:r>
      <w:r>
        <w:rPr>
          <w:rFonts w:hint="eastAsia" w:ascii="宋体" w:hAnsi="宋体" w:cs="宋体"/>
          <w:sz w:val="24"/>
        </w:rPr>
        <w:t>年第</w:t>
      </w:r>
      <w:r>
        <w:rPr>
          <w:rFonts w:hint="eastAsia" w:ascii="宋体" w:hAnsi="宋体" w:cs="宋体"/>
          <w:sz w:val="24"/>
          <w:lang w:val="en-US" w:eastAsia="zh-CN"/>
        </w:rPr>
        <w:t>9期</w:t>
      </w:r>
      <w:r>
        <w:rPr>
          <w:rFonts w:hint="eastAsia" w:ascii="宋体" w:hAnsi="宋体" w:cs="宋体"/>
          <w:sz w:val="24"/>
        </w:rPr>
        <w:t>、龙港市价格信息202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期；</w:t>
      </w:r>
    </w:p>
    <w:p w14:paraId="4AEAC42C">
      <w:pPr>
        <w:spacing w:line="520" w:lineRule="exact"/>
        <w:ind w:right="-125" w:firstLine="482" w:firstLineChars="200"/>
        <w:rPr>
          <w:rFonts w:ascii="宋体" w:hAnsi="宋体" w:cs="宋体"/>
          <w:b/>
          <w:bCs/>
          <w:sz w:val="24"/>
        </w:rPr>
      </w:pPr>
      <w:r>
        <w:rPr>
          <w:rFonts w:hint="eastAsia" w:ascii="宋体" w:hAnsi="宋体" w:cs="宋体"/>
          <w:b/>
          <w:bCs/>
          <w:sz w:val="24"/>
        </w:rPr>
        <w:t>三、取费：</w:t>
      </w:r>
    </w:p>
    <w:p w14:paraId="2D4BCA72">
      <w:pPr>
        <w:spacing w:line="520" w:lineRule="exact"/>
        <w:ind w:right="-125" w:firstLine="480" w:firstLineChars="200"/>
        <w:rPr>
          <w:rFonts w:ascii="宋体" w:hAnsi="宋体" w:cs="宋体"/>
          <w:sz w:val="24"/>
        </w:rPr>
      </w:pPr>
      <w:r>
        <w:rPr>
          <w:rFonts w:hint="eastAsia" w:ascii="宋体" w:hAnsi="宋体" w:cs="宋体"/>
          <w:sz w:val="24"/>
        </w:rPr>
        <w:t>1</w:t>
      </w:r>
      <w:r>
        <w:rPr>
          <w:rFonts w:hint="default" w:ascii="宋体" w:hAnsi="宋体" w:eastAsia="宋体" w:cs="宋体"/>
          <w:kern w:val="2"/>
          <w:sz w:val="24"/>
          <w:szCs w:val="24"/>
          <w:lang w:val="en-US" w:eastAsia="zh-CN" w:bidi="ar-SA"/>
        </w:rPr>
        <w:t>．</w:t>
      </w:r>
      <w:r>
        <w:rPr>
          <w:rFonts w:hint="eastAsia" w:ascii="宋体" w:hAnsi="宋体" w:cs="宋体"/>
          <w:sz w:val="24"/>
        </w:rPr>
        <w:t>税金按9%计取；利润按照7.42%计取；</w:t>
      </w:r>
    </w:p>
    <w:p w14:paraId="34071FB1">
      <w:pPr>
        <w:spacing w:line="520" w:lineRule="exact"/>
        <w:ind w:right="-125" w:firstLine="480" w:firstLineChars="200"/>
        <w:rPr>
          <w:rFonts w:hint="eastAsia" w:ascii="宋体" w:hAnsi="宋体" w:cs="宋体"/>
          <w:sz w:val="24"/>
        </w:rPr>
      </w:pPr>
      <w:r>
        <w:rPr>
          <w:rFonts w:hint="eastAsia" w:ascii="宋体" w:hAnsi="宋体" w:cs="宋体"/>
          <w:sz w:val="24"/>
        </w:rPr>
        <w:t>2</w:t>
      </w:r>
      <w:r>
        <w:rPr>
          <w:rFonts w:hint="default" w:ascii="宋体" w:hAnsi="宋体" w:eastAsia="宋体" w:cs="宋体"/>
          <w:kern w:val="2"/>
          <w:sz w:val="24"/>
          <w:szCs w:val="24"/>
          <w:lang w:val="en-US" w:eastAsia="zh-CN" w:bidi="ar-SA"/>
        </w:rPr>
        <w:t>．</w:t>
      </w:r>
      <w:r>
        <w:rPr>
          <w:rFonts w:hint="eastAsia" w:ascii="宋体" w:hAnsi="宋体" w:cs="宋体"/>
          <w:sz w:val="24"/>
        </w:rPr>
        <w:t>财企[2012]16号 财政部 国家安全生产监督管理总局关于印发《企业安全生产费提取和使用管理办法》的通知；</w:t>
      </w:r>
    </w:p>
    <w:p w14:paraId="346B1F51">
      <w:pPr>
        <w:spacing w:line="520" w:lineRule="exact"/>
        <w:ind w:right="-125" w:firstLine="480" w:firstLineChars="200"/>
        <w:rPr>
          <w:rFonts w:hint="eastAsia" w:ascii="宋体" w:hAnsi="宋体" w:eastAsia="宋体" w:cs="宋体"/>
          <w:sz w:val="24"/>
        </w:rPr>
      </w:pPr>
      <w:r>
        <w:rPr>
          <w:rFonts w:hint="eastAsia" w:ascii="宋体" w:hAnsi="宋体" w:cs="宋体"/>
          <w:sz w:val="24"/>
          <w:lang w:val="en-US" w:eastAsia="zh-CN"/>
        </w:rPr>
        <w:t>3</w:t>
      </w:r>
      <w:r>
        <w:rPr>
          <w:rFonts w:hint="default" w:ascii="宋体" w:hAnsi="宋体" w:cs="宋体"/>
          <w:sz w:val="24"/>
          <w:lang w:val="en-US" w:eastAsia="zh-CN"/>
        </w:rPr>
        <w:t>．</w:t>
      </w:r>
      <w:r>
        <w:rPr>
          <w:rFonts w:hint="eastAsia" w:ascii="宋体" w:hAnsi="宋体" w:cs="宋体"/>
          <w:sz w:val="24"/>
        </w:rPr>
        <w:t>建筑工程一切险本工程控制价取费基数按第100章至700章小计汇总的</w:t>
      </w:r>
      <w:r>
        <w:rPr>
          <w:rFonts w:hint="eastAsia" w:ascii="宋体" w:hAnsi="宋体" w:cs="宋体"/>
          <w:sz w:val="24"/>
          <w:lang w:val="en-US" w:eastAsia="zh-CN"/>
        </w:rPr>
        <w:t>3</w:t>
      </w:r>
      <w:r>
        <w:rPr>
          <w:rFonts w:ascii="宋体" w:hAnsi="宋体" w:cs="宋体"/>
          <w:sz w:val="24"/>
        </w:rPr>
        <w:t>‰</w:t>
      </w:r>
      <w:r>
        <w:rPr>
          <w:rFonts w:hint="eastAsia" w:ascii="宋体" w:hAnsi="宋体" w:eastAsia="宋体" w:cs="宋体"/>
          <w:sz w:val="24"/>
        </w:rPr>
        <w:t>计取（不含建筑工程一切险及安全生产费）；</w:t>
      </w:r>
    </w:p>
    <w:p w14:paraId="4945C0FF">
      <w:pPr>
        <w:spacing w:line="520" w:lineRule="exact"/>
        <w:ind w:right="-125" w:firstLine="480" w:firstLineChars="200"/>
        <w:rPr>
          <w:rFonts w:hint="eastAsia" w:ascii="宋体" w:hAnsi="宋体" w:eastAsia="宋体" w:cs="宋体"/>
          <w:sz w:val="24"/>
        </w:rPr>
      </w:pPr>
      <w:r>
        <w:rPr>
          <w:rFonts w:hint="eastAsia" w:ascii="宋体" w:hAnsi="宋体" w:cs="宋体"/>
          <w:sz w:val="24"/>
          <w:lang w:val="en-US" w:eastAsia="zh-CN"/>
        </w:rPr>
        <w:t>4</w:t>
      </w:r>
      <w:r>
        <w:rPr>
          <w:rFonts w:hint="default" w:ascii="宋体" w:hAnsi="宋体" w:eastAsia="宋体" w:cs="宋体"/>
          <w:kern w:val="2"/>
          <w:sz w:val="24"/>
          <w:szCs w:val="24"/>
          <w:lang w:val="en-US" w:eastAsia="zh-CN" w:bidi="ar-SA"/>
        </w:rPr>
        <w:t>．</w:t>
      </w:r>
      <w:r>
        <w:rPr>
          <w:rFonts w:hint="eastAsia" w:ascii="宋体" w:hAnsi="宋体" w:eastAsia="宋体" w:cs="宋体"/>
          <w:sz w:val="24"/>
        </w:rPr>
        <w:t>竣工文件编制费依据《公路工程基本建设项目概算预算编制办法(JTG3830-2018)》已包含在企业管理费中，</w:t>
      </w:r>
      <w:r>
        <w:rPr>
          <w:rFonts w:hint="eastAsia" w:ascii="宋体" w:hAnsi="宋体" w:eastAsia="宋体" w:cs="宋体"/>
          <w:sz w:val="24"/>
          <w:lang w:val="en-US" w:eastAsia="zh-CN"/>
        </w:rPr>
        <w:t>本项目只列项不计费用</w:t>
      </w:r>
      <w:r>
        <w:rPr>
          <w:rFonts w:hint="eastAsia" w:ascii="宋体" w:hAnsi="宋体" w:eastAsia="宋体" w:cs="宋体"/>
          <w:sz w:val="24"/>
        </w:rPr>
        <w:t>。</w:t>
      </w:r>
    </w:p>
    <w:p w14:paraId="5E3804D7">
      <w:pPr>
        <w:numPr>
          <w:ilvl w:val="0"/>
          <w:numId w:val="0"/>
        </w:numPr>
        <w:spacing w:line="360" w:lineRule="auto"/>
        <w:ind w:left="0" w:leftChars="0" w:right="-125" w:rightChars="0" w:firstLine="480" w:firstLineChars="200"/>
        <w:jc w:val="left"/>
        <w:rPr>
          <w:rFonts w:ascii="宋体" w:hAnsi="宋体" w:cs="宋体"/>
          <w:sz w:val="24"/>
        </w:rPr>
      </w:pPr>
      <w:r>
        <w:rPr>
          <w:rFonts w:hint="eastAsia" w:ascii="宋体" w:hAnsi="宋体" w:cs="宋体"/>
          <w:kern w:val="2"/>
          <w:sz w:val="24"/>
          <w:szCs w:val="24"/>
          <w:lang w:val="en-US" w:eastAsia="zh-CN" w:bidi="ar-SA"/>
        </w:rPr>
        <w:t>5</w:t>
      </w:r>
      <w:r>
        <w:rPr>
          <w:rFonts w:hint="default" w:ascii="宋体" w:hAnsi="宋体" w:eastAsia="宋体" w:cs="宋体"/>
          <w:kern w:val="2"/>
          <w:sz w:val="24"/>
          <w:szCs w:val="24"/>
          <w:lang w:val="en-US" w:eastAsia="zh-CN" w:bidi="ar-SA"/>
        </w:rPr>
        <w:t>．</w:t>
      </w:r>
      <w:r>
        <w:rPr>
          <w:rFonts w:hint="eastAsia" w:ascii="宋体" w:hAnsi="宋体" w:cs="宋体"/>
          <w:sz w:val="24"/>
        </w:rPr>
        <w:t>本项目施工环保费按浙江省100章指导文件取中值，200~700章合计的1.5</w:t>
      </w:r>
      <w:r>
        <w:rPr>
          <w:rFonts w:hint="eastAsia" w:ascii="宋体" w:hAnsi="宋体"/>
          <w:color w:val="auto"/>
          <w:sz w:val="24"/>
          <w:lang w:val="en-US" w:eastAsia="zh-CN"/>
        </w:rPr>
        <w:t>‰</w:t>
      </w:r>
      <w:r>
        <w:rPr>
          <w:rFonts w:hint="eastAsia" w:ascii="宋体" w:hAnsi="宋体" w:cs="宋体"/>
          <w:sz w:val="24"/>
        </w:rPr>
        <w:t>计取。</w:t>
      </w:r>
    </w:p>
    <w:p w14:paraId="4802FD35">
      <w:pPr>
        <w:spacing w:line="520" w:lineRule="exact"/>
        <w:ind w:right="-125" w:firstLine="480" w:firstLineChars="200"/>
        <w:rPr>
          <w:rFonts w:hint="eastAsia" w:ascii="宋体" w:hAnsi="宋体" w:eastAsia="宋体" w:cs="宋体"/>
          <w:sz w:val="24"/>
          <w:lang w:eastAsia="zh-CN"/>
        </w:rPr>
      </w:pPr>
      <w:r>
        <w:rPr>
          <w:rFonts w:hint="eastAsia" w:ascii="宋体" w:hAnsi="宋体" w:cs="宋体"/>
          <w:sz w:val="24"/>
          <w:lang w:val="en-US" w:eastAsia="zh-CN"/>
        </w:rPr>
        <w:t>6</w:t>
      </w:r>
      <w:r>
        <w:rPr>
          <w:rFonts w:hint="default" w:ascii="宋体" w:hAnsi="宋体" w:eastAsia="宋体" w:cs="宋体"/>
          <w:kern w:val="2"/>
          <w:sz w:val="24"/>
          <w:szCs w:val="24"/>
          <w:lang w:val="en-US" w:eastAsia="zh-CN" w:bidi="ar-SA"/>
        </w:rPr>
        <w:t>．</w:t>
      </w:r>
      <w:r>
        <w:rPr>
          <w:rFonts w:hint="eastAsia" w:ascii="宋体" w:hAnsi="宋体" w:cs="宋体"/>
          <w:sz w:val="24"/>
        </w:rPr>
        <w:t>安全生产费按有关文件规定计算，本工程控制价取费基数按第100章至700章小计汇总的2%计取（不含建筑工程一切险及安全生产费）</w:t>
      </w:r>
      <w:r>
        <w:rPr>
          <w:rFonts w:hint="eastAsia" w:ascii="宋体" w:hAnsi="宋体" w:cs="宋体"/>
          <w:sz w:val="24"/>
          <w:lang w:eastAsia="zh-CN"/>
        </w:rPr>
        <w:t>。</w:t>
      </w:r>
      <w:r>
        <w:rPr>
          <w:rFonts w:hint="eastAsia" w:ascii="宋体" w:hAnsi="宋体" w:cs="宋体"/>
          <w:sz w:val="24"/>
          <w:lang w:val="en-US" w:eastAsia="zh-CN"/>
        </w:rPr>
        <w:t>另外，</w:t>
      </w:r>
      <w:r>
        <w:rPr>
          <w:rFonts w:hint="eastAsia" w:ascii="宋体" w:hAnsi="宋体"/>
          <w:color w:val="auto"/>
          <w:sz w:val="24"/>
          <w:lang w:val="en-US" w:eastAsia="zh-CN"/>
        </w:rPr>
        <w:t>按根据规定，提供安全生产责任险（含第三者责任险），并依据（浙交〔2022〕116号）规定，取安全生产责任险保险费率为2‰计入工程量清单。</w:t>
      </w:r>
    </w:p>
    <w:p w14:paraId="3803EF26">
      <w:pPr>
        <w:spacing w:line="520" w:lineRule="exact"/>
        <w:ind w:right="-125" w:firstLine="480" w:firstLineChars="200"/>
        <w:rPr>
          <w:rFonts w:ascii="宋体" w:hAnsi="宋体" w:cs="宋体"/>
          <w:sz w:val="24"/>
        </w:rPr>
      </w:pPr>
      <w:r>
        <w:rPr>
          <w:rFonts w:hint="eastAsia" w:ascii="宋体" w:hAnsi="宋体" w:eastAsia="宋体" w:cs="宋体"/>
          <w:sz w:val="24"/>
          <w:lang w:val="en-US" w:eastAsia="zh-CN"/>
        </w:rPr>
        <w:t>7</w:t>
      </w:r>
      <w:r>
        <w:rPr>
          <w:rFonts w:hint="default" w:ascii="宋体" w:hAnsi="宋体" w:eastAsia="宋体" w:cs="宋体"/>
          <w:kern w:val="2"/>
          <w:sz w:val="24"/>
          <w:szCs w:val="24"/>
          <w:lang w:val="en-US" w:eastAsia="zh-CN" w:bidi="ar-SA"/>
        </w:rPr>
        <w:t>．</w:t>
      </w:r>
      <w:r>
        <w:rPr>
          <w:rFonts w:hint="eastAsia" w:ascii="宋体" w:hAnsi="宋体" w:cs="宋体"/>
          <w:sz w:val="24"/>
        </w:rPr>
        <w:t>本项目不设暂列金额；</w:t>
      </w:r>
    </w:p>
    <w:p w14:paraId="325C114C">
      <w:pPr>
        <w:spacing w:line="520" w:lineRule="exact"/>
        <w:ind w:right="-125" w:firstLine="480" w:firstLineChars="200"/>
        <w:rPr>
          <w:rFonts w:hint="eastAsia" w:ascii="宋体" w:hAnsi="宋体" w:cs="宋体"/>
          <w:sz w:val="24"/>
        </w:rPr>
      </w:pPr>
      <w:r>
        <w:rPr>
          <w:rFonts w:hint="eastAsia" w:ascii="宋体" w:hAnsi="宋体" w:cs="宋体"/>
          <w:sz w:val="24"/>
          <w:lang w:val="en-US" w:eastAsia="zh-CN"/>
        </w:rPr>
        <w:t>8</w:t>
      </w:r>
      <w:r>
        <w:rPr>
          <w:rFonts w:hint="default" w:ascii="宋体" w:hAnsi="宋体" w:eastAsia="宋体" w:cs="宋体"/>
          <w:kern w:val="2"/>
          <w:sz w:val="24"/>
          <w:szCs w:val="24"/>
          <w:lang w:val="en-US" w:eastAsia="zh-CN" w:bidi="ar-SA"/>
        </w:rPr>
        <w:t>．</w:t>
      </w:r>
      <w:r>
        <w:rPr>
          <w:rFonts w:hint="eastAsia" w:ascii="宋体" w:hAnsi="宋体" w:cs="宋体"/>
          <w:sz w:val="24"/>
        </w:rPr>
        <w:t>关于进一步规范交通建设工程量清单预算第100章总则部分费用计列内容和标准的指导意见（2014-01-27）。</w:t>
      </w:r>
    </w:p>
    <w:p w14:paraId="469A9050">
      <w:pPr>
        <w:spacing w:line="520" w:lineRule="exact"/>
        <w:ind w:right="-125" w:firstLine="480" w:firstLineChars="200"/>
        <w:rPr>
          <w:rFonts w:ascii="宋体" w:hAnsi="宋体" w:cs="宋体"/>
          <w:color w:val="FF0000"/>
          <w:sz w:val="24"/>
        </w:rPr>
      </w:pPr>
      <w:r>
        <w:rPr>
          <w:rFonts w:hint="eastAsia" w:ascii="宋体" w:hAnsi="宋体" w:cs="宋体"/>
          <w:sz w:val="24"/>
          <w:lang w:val="en-US" w:eastAsia="zh-CN"/>
        </w:rPr>
        <w:t>9</w:t>
      </w:r>
      <w:r>
        <w:rPr>
          <w:rFonts w:hint="default" w:ascii="宋体" w:hAnsi="宋体" w:eastAsia="宋体" w:cs="宋体"/>
          <w:kern w:val="2"/>
          <w:sz w:val="24"/>
          <w:szCs w:val="24"/>
          <w:lang w:val="en-US" w:eastAsia="zh-CN" w:bidi="ar-SA"/>
        </w:rPr>
        <w:t>．</w:t>
      </w:r>
      <w:r>
        <w:rPr>
          <w:rFonts w:hint="eastAsia" w:ascii="宋体" w:hAnsi="宋体" w:cs="宋体"/>
          <w:sz w:val="24"/>
        </w:rPr>
        <w:t>措施费：冬季施工增加费按准二区计；雨季施工增加费按Ⅱ区7个月计；计取夜间施工增加费；特殊地区施工增加费不计取；行车干扰费不计取；计取施工辅助费；工地转移费按50km计取。</w:t>
      </w:r>
    </w:p>
    <w:p w14:paraId="204862C6">
      <w:pPr>
        <w:spacing w:line="520" w:lineRule="exact"/>
        <w:ind w:right="-125" w:firstLine="480" w:firstLineChars="200"/>
        <w:jc w:val="left"/>
        <w:rPr>
          <w:rFonts w:ascii="宋体" w:hAnsi="宋体" w:cs="宋体"/>
          <w:sz w:val="24"/>
        </w:rPr>
      </w:pPr>
      <w:r>
        <w:rPr>
          <w:rFonts w:hint="eastAsia" w:ascii="宋体" w:hAnsi="宋体" w:cs="宋体"/>
          <w:sz w:val="24"/>
          <w:lang w:val="en-US" w:eastAsia="zh-CN"/>
        </w:rPr>
        <w:t>10</w:t>
      </w:r>
      <w:r>
        <w:rPr>
          <w:rFonts w:hint="default" w:ascii="宋体" w:hAnsi="宋体" w:eastAsia="宋体" w:cs="宋体"/>
          <w:kern w:val="2"/>
          <w:sz w:val="24"/>
          <w:szCs w:val="24"/>
          <w:lang w:val="en-US" w:eastAsia="zh-CN" w:bidi="ar-SA"/>
        </w:rPr>
        <w:t>．</w:t>
      </w:r>
      <w:r>
        <w:rPr>
          <w:rFonts w:hint="eastAsia" w:ascii="宋体" w:hAnsi="宋体" w:cs="宋体"/>
          <w:sz w:val="24"/>
        </w:rPr>
        <w:t>企业管理费：计取基本管理费；主副食运费补贴按照3km计取；计取施工探亲费；计取职工取暖费；计取财务费用。</w:t>
      </w:r>
    </w:p>
    <w:p w14:paraId="644C62A8">
      <w:pPr>
        <w:spacing w:line="300" w:lineRule="auto"/>
        <w:ind w:firstLine="480" w:firstLineChars="200"/>
        <w:rPr>
          <w:rFonts w:ascii="新宋体" w:hAnsi="新宋体" w:eastAsia="新宋体" w:cs="新宋体"/>
          <w:kern w:val="0"/>
          <w:sz w:val="24"/>
        </w:rPr>
      </w:pPr>
      <w:r>
        <w:rPr>
          <w:rFonts w:hint="eastAsia" w:ascii="宋体" w:hAnsi="宋体" w:cs="宋体"/>
          <w:sz w:val="24"/>
        </w:rPr>
        <w:t>1</w:t>
      </w:r>
      <w:r>
        <w:rPr>
          <w:rFonts w:hint="eastAsia" w:ascii="宋体" w:hAnsi="宋体" w:cs="宋体"/>
          <w:sz w:val="24"/>
          <w:lang w:val="en-US" w:eastAsia="zh-CN"/>
        </w:rPr>
        <w:t>1</w:t>
      </w:r>
      <w:r>
        <w:rPr>
          <w:rFonts w:hint="default" w:ascii="宋体" w:hAnsi="宋体" w:eastAsia="宋体" w:cs="宋体"/>
          <w:kern w:val="2"/>
          <w:sz w:val="24"/>
          <w:szCs w:val="24"/>
          <w:lang w:val="en-US" w:eastAsia="zh-CN" w:bidi="ar-SA"/>
        </w:rPr>
        <w:t>．</w:t>
      </w:r>
      <w:r>
        <w:rPr>
          <w:rFonts w:hint="eastAsia" w:ascii="新宋体" w:hAnsi="新宋体" w:eastAsia="新宋体" w:cs="新宋体"/>
          <w:kern w:val="0"/>
          <w:sz w:val="24"/>
        </w:rPr>
        <w:t>规费：费率依据</w:t>
      </w:r>
      <w:r>
        <w:rPr>
          <w:rFonts w:hint="eastAsia"/>
          <w:sz w:val="24"/>
        </w:rPr>
        <w:t>浙江省交通运输厅颁发{浙交（2019）116号文}</w:t>
      </w:r>
      <w:r>
        <w:rPr>
          <w:rFonts w:hint="eastAsia" w:ascii="新宋体" w:hAnsi="新宋体" w:eastAsia="新宋体" w:cs="新宋体"/>
          <w:kern w:val="0"/>
          <w:sz w:val="24"/>
        </w:rPr>
        <w:t>文件规定计取。</w:t>
      </w:r>
    </w:p>
    <w:p w14:paraId="704CD09B">
      <w:pPr>
        <w:pStyle w:val="3"/>
        <w:ind w:firstLine="280"/>
      </w:pPr>
    </w:p>
    <w:p w14:paraId="396C33B5">
      <w:pPr>
        <w:spacing w:line="300" w:lineRule="auto"/>
        <w:ind w:firstLine="480" w:firstLineChars="200"/>
        <w:jc w:val="center"/>
        <w:rPr>
          <w:rFonts w:ascii="宋体" w:hAnsi="宋体" w:cs="宋体"/>
          <w:sz w:val="24"/>
        </w:rPr>
      </w:pPr>
      <w:r>
        <w:rPr>
          <w:rFonts w:hint="eastAsia" w:ascii="宋体" w:hAnsi="宋体" w:cs="宋体"/>
          <w:sz w:val="24"/>
        </w:rPr>
        <w:t>规费费率表（％）</w:t>
      </w:r>
    </w:p>
    <w:tbl>
      <w:tblPr>
        <w:tblStyle w:val="9"/>
        <w:tblW w:w="0" w:type="auto"/>
        <w:jc w:val="center"/>
        <w:tblLayout w:type="fixed"/>
        <w:tblCellMar>
          <w:top w:w="0" w:type="dxa"/>
          <w:left w:w="0" w:type="dxa"/>
          <w:bottom w:w="0" w:type="dxa"/>
          <w:right w:w="0" w:type="dxa"/>
        </w:tblCellMar>
      </w:tblPr>
      <w:tblGrid>
        <w:gridCol w:w="1254"/>
        <w:gridCol w:w="1402"/>
        <w:gridCol w:w="1403"/>
        <w:gridCol w:w="1403"/>
        <w:gridCol w:w="1403"/>
        <w:gridCol w:w="1403"/>
      </w:tblGrid>
      <w:tr w14:paraId="064A571F">
        <w:tblPrEx>
          <w:tblCellMar>
            <w:top w:w="0" w:type="dxa"/>
            <w:left w:w="0" w:type="dxa"/>
            <w:bottom w:w="0" w:type="dxa"/>
            <w:right w:w="0" w:type="dxa"/>
          </w:tblCellMar>
        </w:tblPrEx>
        <w:trPr>
          <w:trHeight w:val="732" w:hRule="atLeast"/>
          <w:jc w:val="center"/>
        </w:trPr>
        <w:tc>
          <w:tcPr>
            <w:tcW w:w="125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ED21DEB">
            <w:pPr>
              <w:spacing w:line="300" w:lineRule="auto"/>
              <w:jc w:val="center"/>
              <w:rPr>
                <w:rFonts w:ascii="宋体" w:hAnsi="宋体" w:cs="宋体"/>
                <w:sz w:val="24"/>
              </w:rPr>
            </w:pPr>
            <w:r>
              <w:rPr>
                <w:rFonts w:hint="eastAsia" w:ascii="宋体" w:hAnsi="宋体" w:cs="宋体"/>
                <w:sz w:val="24"/>
              </w:rPr>
              <w:t>规费名称</w:t>
            </w:r>
          </w:p>
        </w:tc>
        <w:tc>
          <w:tcPr>
            <w:tcW w:w="140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EA61E43">
            <w:pPr>
              <w:spacing w:line="300" w:lineRule="auto"/>
              <w:jc w:val="center"/>
              <w:rPr>
                <w:rFonts w:ascii="宋体" w:hAnsi="宋体" w:cs="宋体"/>
                <w:sz w:val="24"/>
              </w:rPr>
            </w:pPr>
            <w:r>
              <w:rPr>
                <w:rFonts w:hint="eastAsia" w:ascii="宋体" w:hAnsi="宋体" w:cs="宋体"/>
                <w:sz w:val="24"/>
              </w:rPr>
              <w:t>养老保险费</w:t>
            </w:r>
          </w:p>
        </w:tc>
        <w:tc>
          <w:tcPr>
            <w:tcW w:w="140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7A43917">
            <w:pPr>
              <w:spacing w:line="300" w:lineRule="auto"/>
              <w:jc w:val="center"/>
              <w:rPr>
                <w:rFonts w:ascii="宋体" w:hAnsi="宋体" w:cs="宋体"/>
                <w:sz w:val="24"/>
              </w:rPr>
            </w:pPr>
            <w:r>
              <w:rPr>
                <w:rFonts w:hint="eastAsia" w:ascii="宋体" w:hAnsi="宋体" w:cs="宋体"/>
                <w:sz w:val="24"/>
              </w:rPr>
              <w:t>失业保险费</w:t>
            </w:r>
          </w:p>
        </w:tc>
        <w:tc>
          <w:tcPr>
            <w:tcW w:w="140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A5D1080">
            <w:pPr>
              <w:spacing w:line="300" w:lineRule="auto"/>
              <w:jc w:val="center"/>
              <w:rPr>
                <w:rFonts w:ascii="宋体" w:hAnsi="宋体" w:cs="宋体"/>
                <w:sz w:val="24"/>
              </w:rPr>
            </w:pPr>
            <w:r>
              <w:rPr>
                <w:rFonts w:hint="eastAsia" w:ascii="宋体" w:hAnsi="宋体" w:cs="宋体"/>
                <w:sz w:val="24"/>
              </w:rPr>
              <w:t>医疗保险费</w:t>
            </w:r>
          </w:p>
        </w:tc>
        <w:tc>
          <w:tcPr>
            <w:tcW w:w="140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853E4B8">
            <w:pPr>
              <w:spacing w:line="300" w:lineRule="auto"/>
              <w:jc w:val="center"/>
              <w:rPr>
                <w:rFonts w:ascii="宋体" w:hAnsi="宋体" w:cs="宋体"/>
                <w:sz w:val="24"/>
              </w:rPr>
            </w:pPr>
            <w:r>
              <w:rPr>
                <w:rFonts w:hint="eastAsia" w:ascii="宋体" w:hAnsi="宋体" w:cs="宋体"/>
                <w:sz w:val="24"/>
              </w:rPr>
              <w:t>工伤保险费</w:t>
            </w:r>
          </w:p>
        </w:tc>
        <w:tc>
          <w:tcPr>
            <w:tcW w:w="140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BEAF3B9">
            <w:pPr>
              <w:spacing w:line="300" w:lineRule="auto"/>
              <w:jc w:val="center"/>
              <w:rPr>
                <w:rFonts w:ascii="宋体" w:hAnsi="宋体" w:cs="宋体"/>
                <w:sz w:val="24"/>
              </w:rPr>
            </w:pPr>
            <w:r>
              <w:rPr>
                <w:rFonts w:hint="eastAsia" w:ascii="宋体" w:hAnsi="宋体" w:cs="宋体"/>
                <w:sz w:val="24"/>
              </w:rPr>
              <w:t>住房公积金</w:t>
            </w:r>
          </w:p>
        </w:tc>
      </w:tr>
      <w:tr w14:paraId="778F72F6">
        <w:tblPrEx>
          <w:tblCellMar>
            <w:top w:w="0" w:type="dxa"/>
            <w:left w:w="0" w:type="dxa"/>
            <w:bottom w:w="0" w:type="dxa"/>
            <w:right w:w="0" w:type="dxa"/>
          </w:tblCellMar>
        </w:tblPrEx>
        <w:trPr>
          <w:trHeight w:val="586" w:hRule="atLeast"/>
          <w:jc w:val="center"/>
        </w:trPr>
        <w:tc>
          <w:tcPr>
            <w:tcW w:w="125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855D2ED">
            <w:pPr>
              <w:spacing w:line="300" w:lineRule="auto"/>
              <w:jc w:val="center"/>
              <w:rPr>
                <w:rFonts w:ascii="宋体" w:hAnsi="宋体" w:cs="宋体"/>
                <w:sz w:val="24"/>
              </w:rPr>
            </w:pPr>
            <w:r>
              <w:rPr>
                <w:rFonts w:hint="eastAsia" w:ascii="宋体" w:hAnsi="宋体" w:cs="宋体"/>
                <w:sz w:val="24"/>
              </w:rPr>
              <w:t>规费费率</w:t>
            </w:r>
          </w:p>
        </w:tc>
        <w:tc>
          <w:tcPr>
            <w:tcW w:w="1402" w:type="dxa"/>
            <w:tcBorders>
              <w:top w:val="nil"/>
              <w:left w:val="nil"/>
              <w:bottom w:val="single" w:color="auto" w:sz="8" w:space="0"/>
              <w:right w:val="single" w:color="auto" w:sz="8" w:space="0"/>
            </w:tcBorders>
            <w:tcMar>
              <w:top w:w="0" w:type="dxa"/>
              <w:left w:w="108" w:type="dxa"/>
              <w:bottom w:w="0" w:type="dxa"/>
              <w:right w:w="108" w:type="dxa"/>
            </w:tcMar>
            <w:vAlign w:val="center"/>
          </w:tcPr>
          <w:p w14:paraId="33CD57C5">
            <w:pPr>
              <w:spacing w:line="300" w:lineRule="auto"/>
              <w:jc w:val="center"/>
              <w:rPr>
                <w:rFonts w:ascii="宋体" w:hAnsi="宋体" w:cs="宋体"/>
                <w:sz w:val="24"/>
              </w:rPr>
            </w:pPr>
            <w:r>
              <w:rPr>
                <w:rFonts w:hint="eastAsia" w:ascii="宋体" w:hAnsi="宋体" w:cs="宋体"/>
                <w:sz w:val="24"/>
              </w:rPr>
              <w:t>14</w:t>
            </w:r>
          </w:p>
        </w:tc>
        <w:tc>
          <w:tcPr>
            <w:tcW w:w="1403" w:type="dxa"/>
            <w:tcBorders>
              <w:top w:val="nil"/>
              <w:left w:val="nil"/>
              <w:bottom w:val="single" w:color="auto" w:sz="8" w:space="0"/>
              <w:right w:val="single" w:color="auto" w:sz="8" w:space="0"/>
            </w:tcBorders>
            <w:tcMar>
              <w:top w:w="0" w:type="dxa"/>
              <w:left w:w="108" w:type="dxa"/>
              <w:bottom w:w="0" w:type="dxa"/>
              <w:right w:w="108" w:type="dxa"/>
            </w:tcMar>
            <w:vAlign w:val="center"/>
          </w:tcPr>
          <w:p w14:paraId="32B8D52F">
            <w:pPr>
              <w:spacing w:line="300" w:lineRule="auto"/>
              <w:jc w:val="center"/>
              <w:rPr>
                <w:rFonts w:ascii="宋体" w:hAnsi="宋体" w:cs="宋体"/>
                <w:sz w:val="24"/>
              </w:rPr>
            </w:pPr>
            <w:r>
              <w:rPr>
                <w:rFonts w:hint="eastAsia" w:ascii="宋体" w:hAnsi="宋体" w:cs="宋体"/>
                <w:sz w:val="24"/>
              </w:rPr>
              <w:t>0.5</w:t>
            </w:r>
          </w:p>
        </w:tc>
        <w:tc>
          <w:tcPr>
            <w:tcW w:w="1403" w:type="dxa"/>
            <w:tcBorders>
              <w:top w:val="nil"/>
              <w:left w:val="nil"/>
              <w:bottom w:val="single" w:color="auto" w:sz="8" w:space="0"/>
              <w:right w:val="single" w:color="auto" w:sz="8" w:space="0"/>
            </w:tcBorders>
            <w:tcMar>
              <w:top w:w="0" w:type="dxa"/>
              <w:left w:w="108" w:type="dxa"/>
              <w:bottom w:w="0" w:type="dxa"/>
              <w:right w:w="108" w:type="dxa"/>
            </w:tcMar>
            <w:vAlign w:val="center"/>
          </w:tcPr>
          <w:p w14:paraId="00CD6351">
            <w:pPr>
              <w:spacing w:line="300" w:lineRule="auto"/>
              <w:jc w:val="center"/>
              <w:rPr>
                <w:rFonts w:ascii="宋体" w:hAnsi="宋体" w:cs="宋体"/>
                <w:sz w:val="24"/>
              </w:rPr>
            </w:pPr>
            <w:r>
              <w:rPr>
                <w:rFonts w:hint="eastAsia" w:ascii="宋体" w:hAnsi="宋体" w:cs="宋体"/>
                <w:sz w:val="24"/>
              </w:rPr>
              <w:t>8</w:t>
            </w:r>
          </w:p>
        </w:tc>
        <w:tc>
          <w:tcPr>
            <w:tcW w:w="1403" w:type="dxa"/>
            <w:tcBorders>
              <w:top w:val="nil"/>
              <w:left w:val="nil"/>
              <w:bottom w:val="single" w:color="auto" w:sz="8" w:space="0"/>
              <w:right w:val="single" w:color="auto" w:sz="8" w:space="0"/>
            </w:tcBorders>
            <w:tcMar>
              <w:top w:w="0" w:type="dxa"/>
              <w:left w:w="108" w:type="dxa"/>
              <w:bottom w:w="0" w:type="dxa"/>
              <w:right w:w="108" w:type="dxa"/>
            </w:tcMar>
            <w:vAlign w:val="center"/>
          </w:tcPr>
          <w:p w14:paraId="16300E21">
            <w:pPr>
              <w:spacing w:line="300" w:lineRule="auto"/>
              <w:jc w:val="center"/>
              <w:rPr>
                <w:rFonts w:ascii="宋体" w:hAnsi="宋体" w:cs="宋体"/>
                <w:sz w:val="24"/>
              </w:rPr>
            </w:pPr>
            <w:r>
              <w:rPr>
                <w:rFonts w:hint="eastAsia" w:ascii="宋体" w:hAnsi="宋体" w:cs="宋体"/>
                <w:sz w:val="24"/>
              </w:rPr>
              <w:t>1.3</w:t>
            </w:r>
          </w:p>
        </w:tc>
        <w:tc>
          <w:tcPr>
            <w:tcW w:w="1403" w:type="dxa"/>
            <w:tcBorders>
              <w:top w:val="nil"/>
              <w:left w:val="nil"/>
              <w:bottom w:val="single" w:color="auto" w:sz="8" w:space="0"/>
              <w:right w:val="single" w:color="auto" w:sz="8" w:space="0"/>
            </w:tcBorders>
            <w:tcMar>
              <w:top w:w="0" w:type="dxa"/>
              <w:left w:w="108" w:type="dxa"/>
              <w:bottom w:w="0" w:type="dxa"/>
              <w:right w:w="108" w:type="dxa"/>
            </w:tcMar>
            <w:vAlign w:val="center"/>
          </w:tcPr>
          <w:p w14:paraId="61B76C58">
            <w:pPr>
              <w:spacing w:line="300" w:lineRule="auto"/>
              <w:jc w:val="center"/>
              <w:rPr>
                <w:rFonts w:ascii="宋体" w:hAnsi="宋体" w:cs="宋体"/>
                <w:sz w:val="24"/>
              </w:rPr>
            </w:pPr>
            <w:r>
              <w:rPr>
                <w:rFonts w:hint="eastAsia" w:ascii="宋体" w:hAnsi="宋体" w:cs="宋体"/>
                <w:sz w:val="24"/>
              </w:rPr>
              <w:t>8.5</w:t>
            </w:r>
          </w:p>
        </w:tc>
      </w:tr>
    </w:tbl>
    <w:p w14:paraId="3B0C3897">
      <w:pPr>
        <w:spacing w:line="420" w:lineRule="exact"/>
        <w:ind w:left="142"/>
        <w:rPr>
          <w:rFonts w:ascii="宋体" w:hAnsi="宋体" w:cs="宋体"/>
          <w:b/>
          <w:bCs/>
          <w:sz w:val="24"/>
        </w:rPr>
      </w:pPr>
      <w:r>
        <w:rPr>
          <w:rFonts w:hint="eastAsia" w:ascii="宋体" w:hAnsi="宋体" w:cs="宋体"/>
          <w:b/>
          <w:bCs/>
          <w:sz w:val="24"/>
        </w:rPr>
        <w:t>四、其他说明：</w:t>
      </w:r>
    </w:p>
    <w:p w14:paraId="2E69F822">
      <w:pPr>
        <w:numPr>
          <w:ilvl w:val="0"/>
          <w:numId w:val="0"/>
        </w:numPr>
        <w:spacing w:line="520" w:lineRule="exact"/>
        <w:ind w:left="0" w:leftChars="0" w:right="-125" w:rightChars="0" w:firstLine="480" w:firstLineChars="200"/>
        <w:rPr>
          <w:rFonts w:ascii="宋体" w:hAnsi="宋体" w:cs="宋体"/>
          <w:sz w:val="24"/>
        </w:rPr>
      </w:pPr>
      <w:r>
        <w:rPr>
          <w:rFonts w:hint="default" w:ascii="宋体" w:hAnsi="宋体" w:eastAsia="宋体" w:cs="宋体"/>
          <w:kern w:val="2"/>
          <w:sz w:val="24"/>
          <w:szCs w:val="24"/>
          <w:lang w:val="en-US" w:eastAsia="zh-CN" w:bidi="ar-SA"/>
        </w:rPr>
        <w:t>1．</w:t>
      </w:r>
      <w:r>
        <w:rPr>
          <w:rFonts w:hint="eastAsia" w:ascii="宋体" w:hAnsi="宋体" w:cs="宋体"/>
          <w:sz w:val="24"/>
        </w:rPr>
        <w:t>除非合同另有规定，工程量清单中有标价的单位和总价均已包括了为实施和完成合同所需的劳务、材料、机械、质检自检、安装、缺陷修复、管理、保险、税费、利润等费用，以及合同明示或暗示的所有责任、义务和一般风险；</w:t>
      </w:r>
    </w:p>
    <w:p w14:paraId="17005312">
      <w:pPr>
        <w:numPr>
          <w:ilvl w:val="0"/>
          <w:numId w:val="0"/>
        </w:numPr>
        <w:spacing w:line="520" w:lineRule="exact"/>
        <w:ind w:left="0" w:leftChars="0" w:right="-125" w:rightChars="0" w:firstLine="480" w:firstLineChars="200"/>
        <w:jc w:val="left"/>
        <w:rPr>
          <w:rFonts w:ascii="宋体" w:hAnsi="宋体" w:cs="宋体"/>
          <w:sz w:val="24"/>
        </w:rPr>
      </w:pPr>
      <w:r>
        <w:rPr>
          <w:rFonts w:hint="default" w:ascii="宋体" w:hAnsi="宋体" w:eastAsia="宋体" w:cs="宋体"/>
          <w:kern w:val="2"/>
          <w:sz w:val="24"/>
          <w:szCs w:val="24"/>
          <w:lang w:val="en-US" w:eastAsia="zh-CN" w:bidi="ar-SA"/>
        </w:rPr>
        <w:t>2．</w:t>
      </w:r>
      <w:r>
        <w:rPr>
          <w:rFonts w:hint="eastAsia" w:ascii="宋体" w:hAnsi="宋体" w:cs="宋体"/>
          <w:sz w:val="24"/>
        </w:rPr>
        <w:t>工程量清单第100章中内容，投标人须严格按照招标人提供的工程量清单中的子目名称、单位、数量、单价、合价填报，不得随意更改，其中保险费、安全生产费（专款专用）按清单计量规则规定计取。</w:t>
      </w:r>
    </w:p>
    <w:p w14:paraId="6206E1EC">
      <w:pPr>
        <w:numPr>
          <w:ilvl w:val="0"/>
          <w:numId w:val="0"/>
        </w:numPr>
        <w:spacing w:line="360" w:lineRule="auto"/>
        <w:ind w:left="0" w:leftChars="0" w:right="-125" w:rightChars="0" w:firstLine="480" w:firstLineChars="200"/>
        <w:jc w:val="left"/>
        <w:rPr>
          <w:rFonts w:ascii="宋体" w:hAnsi="宋体" w:cs="宋体"/>
          <w:sz w:val="24"/>
        </w:rPr>
      </w:pPr>
      <w:r>
        <w:rPr>
          <w:rFonts w:hint="default" w:ascii="宋体" w:hAnsi="宋体" w:eastAsia="宋体" w:cs="宋体"/>
          <w:kern w:val="2"/>
          <w:sz w:val="24"/>
          <w:szCs w:val="24"/>
          <w:lang w:val="en-US" w:eastAsia="zh-CN" w:bidi="ar-SA"/>
        </w:rPr>
        <w:t>3．</w:t>
      </w:r>
      <w:r>
        <w:rPr>
          <w:rFonts w:hint="eastAsia" w:ascii="宋体" w:hAnsi="宋体" w:cs="宋体"/>
          <w:sz w:val="24"/>
        </w:rPr>
        <w:t>本工程含有挖方相关子目清单的单价均包含弃方的单价。</w:t>
      </w:r>
    </w:p>
    <w:p w14:paraId="7EAEB4D5">
      <w:pPr>
        <w:numPr>
          <w:ilvl w:val="0"/>
          <w:numId w:val="0"/>
        </w:numPr>
        <w:spacing w:line="360" w:lineRule="auto"/>
        <w:ind w:left="0" w:leftChars="0" w:right="-125" w:rightChars="0" w:firstLine="480" w:firstLineChars="200"/>
        <w:jc w:val="left"/>
        <w:rPr>
          <w:rFonts w:ascii="宋体" w:hAnsi="宋体" w:cs="宋体"/>
          <w:sz w:val="24"/>
        </w:rPr>
      </w:pPr>
      <w:r>
        <w:rPr>
          <w:rFonts w:hint="default" w:ascii="宋体" w:hAnsi="宋体" w:eastAsia="宋体" w:cs="宋体"/>
          <w:kern w:val="2"/>
          <w:sz w:val="24"/>
          <w:szCs w:val="24"/>
          <w:lang w:val="en-US" w:eastAsia="zh-CN" w:bidi="ar-SA"/>
        </w:rPr>
        <w:t>4．</w:t>
      </w:r>
      <w:r>
        <w:rPr>
          <w:rFonts w:hint="eastAsia" w:ascii="宋体" w:hAnsi="宋体" w:cs="宋体"/>
          <w:sz w:val="24"/>
        </w:rPr>
        <w:t>本项目控制价编制考虑采用商品混凝土计算造价，其泵送或非泵送由施工单位自行考虑，结算不予调整。</w:t>
      </w:r>
    </w:p>
    <w:p w14:paraId="35E598A1">
      <w:pPr>
        <w:numPr>
          <w:ilvl w:val="0"/>
          <w:numId w:val="0"/>
        </w:numPr>
        <w:spacing w:line="360" w:lineRule="auto"/>
        <w:ind w:left="0" w:leftChars="0" w:right="-125" w:rightChars="0" w:firstLine="480" w:firstLineChars="200"/>
        <w:jc w:val="left"/>
        <w:rPr>
          <w:rFonts w:ascii="宋体" w:hAnsi="宋体" w:cs="宋体"/>
          <w:sz w:val="24"/>
        </w:rPr>
      </w:pPr>
      <w:r>
        <w:rPr>
          <w:rFonts w:hint="eastAsia" w:ascii="宋体" w:hAnsi="宋体" w:cs="宋体"/>
          <w:kern w:val="2"/>
          <w:sz w:val="24"/>
          <w:szCs w:val="24"/>
          <w:lang w:val="en-US" w:eastAsia="zh-CN" w:bidi="ar-SA"/>
        </w:rPr>
        <w:t>5</w:t>
      </w:r>
      <w:r>
        <w:rPr>
          <w:rFonts w:hint="default" w:ascii="宋体" w:hAnsi="宋体" w:eastAsia="宋体" w:cs="宋体"/>
          <w:kern w:val="2"/>
          <w:sz w:val="24"/>
          <w:szCs w:val="24"/>
          <w:lang w:val="en-US" w:eastAsia="zh-CN" w:bidi="ar-SA"/>
        </w:rPr>
        <w:t>．</w:t>
      </w:r>
      <w:r>
        <w:rPr>
          <w:rFonts w:hint="eastAsia" w:ascii="宋体" w:hAnsi="宋体" w:cs="宋体"/>
          <w:sz w:val="24"/>
        </w:rPr>
        <w:t>交通管制按10000元考虑计取。</w:t>
      </w:r>
    </w:p>
    <w:p w14:paraId="1C8AF850">
      <w:pPr>
        <w:numPr>
          <w:ilvl w:val="0"/>
          <w:numId w:val="0"/>
        </w:numPr>
        <w:spacing w:line="360" w:lineRule="auto"/>
        <w:ind w:left="0" w:leftChars="0" w:right="-125" w:rightChars="0" w:firstLine="480" w:firstLineChars="200"/>
        <w:jc w:val="left"/>
        <w:rPr>
          <w:rFonts w:ascii="宋体" w:hAnsi="宋体" w:cs="宋体"/>
          <w:sz w:val="24"/>
        </w:rPr>
      </w:pPr>
      <w:r>
        <w:rPr>
          <w:rFonts w:hint="eastAsia" w:ascii="宋体" w:hAnsi="宋体" w:cs="宋体"/>
          <w:kern w:val="2"/>
          <w:sz w:val="24"/>
          <w:szCs w:val="24"/>
          <w:lang w:val="en-US" w:eastAsia="zh-CN" w:bidi="ar-SA"/>
        </w:rPr>
        <w:t>6</w:t>
      </w:r>
      <w:r>
        <w:rPr>
          <w:rFonts w:hint="default" w:ascii="宋体" w:hAnsi="宋体" w:eastAsia="宋体" w:cs="宋体"/>
          <w:kern w:val="2"/>
          <w:sz w:val="24"/>
          <w:szCs w:val="24"/>
          <w:lang w:val="en-US" w:eastAsia="zh-CN" w:bidi="ar-SA"/>
        </w:rPr>
        <w:t>．</w:t>
      </w:r>
      <w:r>
        <w:rPr>
          <w:rFonts w:hint="eastAsia" w:ascii="宋体" w:hAnsi="宋体" w:cs="宋体"/>
          <w:sz w:val="24"/>
        </w:rPr>
        <w:t>临时道路按1000元考虑计取。</w:t>
      </w:r>
    </w:p>
    <w:p w14:paraId="63C7900F">
      <w:pPr>
        <w:numPr>
          <w:ilvl w:val="0"/>
          <w:numId w:val="0"/>
        </w:numPr>
        <w:spacing w:line="360" w:lineRule="auto"/>
        <w:ind w:left="0" w:leftChars="0" w:right="-125" w:rightChars="0" w:firstLine="480" w:firstLineChars="200"/>
        <w:jc w:val="left"/>
        <w:rPr>
          <w:rFonts w:ascii="宋体" w:hAnsi="宋体" w:cs="宋体"/>
          <w:sz w:val="24"/>
        </w:rPr>
      </w:pPr>
      <w:r>
        <w:rPr>
          <w:rFonts w:hint="eastAsia" w:ascii="宋体" w:hAnsi="宋体" w:cs="宋体"/>
          <w:kern w:val="2"/>
          <w:sz w:val="24"/>
          <w:szCs w:val="24"/>
          <w:lang w:val="en-US" w:eastAsia="zh-CN" w:bidi="ar-SA"/>
        </w:rPr>
        <w:t>7</w:t>
      </w:r>
      <w:r>
        <w:rPr>
          <w:rFonts w:hint="default" w:ascii="宋体" w:hAnsi="宋体" w:eastAsia="宋体" w:cs="宋体"/>
          <w:kern w:val="2"/>
          <w:sz w:val="24"/>
          <w:szCs w:val="24"/>
          <w:lang w:val="en-US" w:eastAsia="zh-CN" w:bidi="ar-SA"/>
        </w:rPr>
        <w:t>．</w:t>
      </w:r>
      <w:r>
        <w:rPr>
          <w:rFonts w:hint="eastAsia" w:ascii="宋体" w:hAnsi="宋体" w:cs="宋体"/>
          <w:sz w:val="24"/>
        </w:rPr>
        <w:t>临时占地按</w:t>
      </w:r>
      <w:r>
        <w:rPr>
          <w:rFonts w:hint="eastAsia" w:ascii="宋体" w:hAnsi="宋体" w:cs="宋体"/>
          <w:sz w:val="24"/>
          <w:lang w:val="en-US" w:eastAsia="zh-CN"/>
        </w:rPr>
        <w:t>3</w:t>
      </w:r>
      <w:r>
        <w:rPr>
          <w:rFonts w:hint="eastAsia" w:ascii="宋体" w:hAnsi="宋体" w:cs="宋体"/>
          <w:sz w:val="24"/>
        </w:rPr>
        <w:t>000元考虑计取。</w:t>
      </w:r>
    </w:p>
    <w:p w14:paraId="377A332C">
      <w:pPr>
        <w:numPr>
          <w:ilvl w:val="0"/>
          <w:numId w:val="0"/>
        </w:numPr>
        <w:spacing w:line="360" w:lineRule="auto"/>
        <w:ind w:left="0" w:leftChars="0" w:right="-125" w:rightChars="0" w:firstLine="480" w:firstLineChars="200"/>
        <w:jc w:val="left"/>
        <w:rPr>
          <w:rFonts w:ascii="宋体" w:hAnsi="宋体" w:cs="宋体"/>
          <w:sz w:val="24"/>
        </w:rPr>
      </w:pPr>
      <w:r>
        <w:rPr>
          <w:rFonts w:hint="eastAsia" w:ascii="宋体" w:hAnsi="宋体" w:cs="宋体"/>
          <w:kern w:val="2"/>
          <w:sz w:val="24"/>
          <w:szCs w:val="24"/>
          <w:lang w:val="en-US" w:eastAsia="zh-CN" w:bidi="ar-SA"/>
        </w:rPr>
        <w:t>8</w:t>
      </w:r>
      <w:r>
        <w:rPr>
          <w:rFonts w:hint="default" w:ascii="宋体" w:hAnsi="宋体" w:eastAsia="宋体" w:cs="宋体"/>
          <w:kern w:val="2"/>
          <w:sz w:val="24"/>
          <w:szCs w:val="24"/>
          <w:lang w:val="en-US" w:eastAsia="zh-CN" w:bidi="ar-SA"/>
        </w:rPr>
        <w:t>．</w:t>
      </w:r>
      <w:r>
        <w:rPr>
          <w:rFonts w:hint="eastAsia" w:ascii="宋体" w:hAnsi="宋体" w:cs="宋体"/>
          <w:sz w:val="24"/>
        </w:rPr>
        <w:t>临时供电设施，综合考虑按</w:t>
      </w:r>
      <w:r>
        <w:rPr>
          <w:rFonts w:hint="eastAsia" w:ascii="宋体" w:hAnsi="宋体" w:cs="宋体"/>
          <w:sz w:val="24"/>
          <w:lang w:val="en-US" w:eastAsia="zh-CN"/>
        </w:rPr>
        <w:t>2</w:t>
      </w:r>
      <w:r>
        <w:rPr>
          <w:rFonts w:hint="eastAsia" w:ascii="宋体" w:hAnsi="宋体" w:cs="宋体"/>
          <w:sz w:val="24"/>
        </w:rPr>
        <w:t>000元计入。</w:t>
      </w:r>
    </w:p>
    <w:p w14:paraId="23B738BE">
      <w:pPr>
        <w:numPr>
          <w:ilvl w:val="0"/>
          <w:numId w:val="0"/>
        </w:numPr>
        <w:spacing w:line="360" w:lineRule="auto"/>
        <w:ind w:left="0" w:leftChars="0" w:right="-125" w:rightChars="0" w:firstLine="480" w:firstLineChars="200"/>
        <w:jc w:val="left"/>
        <w:rPr>
          <w:rFonts w:ascii="宋体" w:hAnsi="宋体" w:cs="宋体"/>
          <w:sz w:val="24"/>
        </w:rPr>
      </w:pPr>
      <w:r>
        <w:rPr>
          <w:rFonts w:hint="eastAsia" w:ascii="宋体" w:hAnsi="宋体" w:cs="宋体"/>
          <w:kern w:val="2"/>
          <w:sz w:val="24"/>
          <w:szCs w:val="24"/>
          <w:lang w:val="en-US" w:eastAsia="zh-CN" w:bidi="ar-SA"/>
        </w:rPr>
        <w:t>9</w:t>
      </w:r>
      <w:r>
        <w:rPr>
          <w:rFonts w:hint="default" w:ascii="宋体" w:hAnsi="宋体" w:eastAsia="宋体" w:cs="宋体"/>
          <w:kern w:val="2"/>
          <w:sz w:val="24"/>
          <w:szCs w:val="24"/>
          <w:lang w:val="en-US" w:eastAsia="zh-CN" w:bidi="ar-SA"/>
        </w:rPr>
        <w:t>．</w:t>
      </w:r>
      <w:r>
        <w:rPr>
          <w:rFonts w:hint="eastAsia" w:ascii="宋体" w:hAnsi="宋体" w:cs="宋体"/>
          <w:sz w:val="24"/>
        </w:rPr>
        <w:t>供水与排污设施按承包人驻地按</w:t>
      </w:r>
      <w:r>
        <w:rPr>
          <w:rFonts w:hint="eastAsia" w:ascii="宋体" w:hAnsi="宋体" w:cs="宋体"/>
          <w:sz w:val="24"/>
          <w:lang w:val="en-US" w:eastAsia="zh-CN"/>
        </w:rPr>
        <w:t>6%计算</w:t>
      </w:r>
      <w:r>
        <w:rPr>
          <w:rFonts w:hint="eastAsia" w:ascii="宋体" w:hAnsi="宋体" w:cs="宋体"/>
          <w:sz w:val="24"/>
        </w:rPr>
        <w:t>。</w:t>
      </w:r>
    </w:p>
    <w:p w14:paraId="0A5B0634">
      <w:pPr>
        <w:numPr>
          <w:ilvl w:val="0"/>
          <w:numId w:val="0"/>
        </w:numPr>
        <w:spacing w:line="360" w:lineRule="auto"/>
        <w:ind w:left="0" w:leftChars="0" w:right="-125" w:rightChars="0" w:firstLine="480" w:firstLineChars="200"/>
        <w:jc w:val="left"/>
        <w:rPr>
          <w:rFonts w:hint="eastAsia" w:ascii="宋体" w:hAnsi="宋体" w:cs="宋体"/>
          <w:sz w:val="24"/>
        </w:rPr>
      </w:pPr>
      <w:r>
        <w:rPr>
          <w:rFonts w:hint="default"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0</w:t>
      </w:r>
      <w:r>
        <w:rPr>
          <w:rFonts w:hint="default" w:ascii="宋体" w:hAnsi="宋体" w:eastAsia="宋体" w:cs="宋体"/>
          <w:kern w:val="2"/>
          <w:sz w:val="24"/>
          <w:szCs w:val="24"/>
          <w:lang w:val="en-US" w:eastAsia="zh-CN" w:bidi="ar-SA"/>
        </w:rPr>
        <w:t>．</w:t>
      </w:r>
      <w:r>
        <w:rPr>
          <w:rFonts w:hint="eastAsia" w:ascii="宋体" w:hAnsi="宋体" w:cs="宋体"/>
          <w:sz w:val="24"/>
        </w:rPr>
        <w:t>承包人驻地建设按租赁加办公场所内必须的场地填筑及硬化等考虑，经计算费用按10000元计取。</w:t>
      </w:r>
    </w:p>
    <w:p w14:paraId="0851BFB0">
      <w:pPr>
        <w:keepNext w:val="0"/>
        <w:keepLines w:val="0"/>
        <w:widowControl/>
        <w:suppressLineNumbers w:val="0"/>
        <w:ind w:firstLine="480" w:firstLineChars="200"/>
        <w:jc w:val="left"/>
        <w:rPr>
          <w:rFonts w:hint="default" w:ascii="宋体" w:hAnsi="宋体" w:cs="宋体"/>
          <w:sz w:val="24"/>
          <w:lang w:val="en-US"/>
        </w:rPr>
      </w:pPr>
      <w:r>
        <w:rPr>
          <w:rFonts w:hint="eastAsia" w:ascii="宋体" w:hAnsi="宋体" w:cs="宋体"/>
          <w:sz w:val="24"/>
          <w:lang w:val="en-US" w:eastAsia="zh-CN"/>
        </w:rPr>
        <w:t>11</w:t>
      </w:r>
      <w:r>
        <w:rPr>
          <w:rFonts w:hint="default" w:ascii="宋体" w:hAnsi="宋体" w:cs="宋体"/>
          <w:sz w:val="24"/>
          <w:lang w:val="en-US" w:eastAsia="zh-CN"/>
        </w:rPr>
        <w:t>．</w:t>
      </w:r>
      <w:r>
        <w:rPr>
          <w:rFonts w:hint="eastAsia" w:ascii="宋体" w:hAnsi="宋体" w:cs="宋体"/>
          <w:sz w:val="24"/>
          <w:lang w:val="en-US" w:eastAsia="zh-CN"/>
        </w:rPr>
        <w:t>凿除原有水泥混凝土（路肩硬化及房前接坡）厚度按18cm计算，结算按实调整。</w:t>
      </w:r>
    </w:p>
    <w:p w14:paraId="3EF28054">
      <w:pPr>
        <w:keepNext w:val="0"/>
        <w:keepLines w:val="0"/>
        <w:widowControl/>
        <w:suppressLineNumbers w:val="0"/>
        <w:jc w:val="left"/>
      </w:pPr>
    </w:p>
    <w:p w14:paraId="445750F5">
      <w:pPr>
        <w:spacing w:line="288" w:lineRule="auto"/>
        <w:rPr>
          <w:rFonts w:ascii="宋体" w:hAnsi="宋体"/>
          <w:bCs/>
          <w:sz w:val="24"/>
        </w:rPr>
      </w:pPr>
      <w:r>
        <w:rPr>
          <w:rFonts w:hint="eastAsia" w:ascii="宋体" w:hAnsi="宋体"/>
          <w:bCs/>
          <w:sz w:val="24"/>
        </w:rPr>
        <w:t xml:space="preserve">    </w:t>
      </w:r>
    </w:p>
    <w:p w14:paraId="47A0EC93">
      <w:pPr>
        <w:spacing w:line="288" w:lineRule="auto"/>
        <w:rPr>
          <w:rFonts w:ascii="宋体" w:hAnsi="宋体"/>
          <w:b/>
          <w:bCs/>
          <w:sz w:val="24"/>
        </w:rPr>
      </w:pPr>
      <w:r>
        <w:rPr>
          <w:rFonts w:hint="eastAsia" w:ascii="宋体" w:hAnsi="宋体"/>
          <w:b/>
          <w:bCs/>
          <w:sz w:val="24"/>
        </w:rPr>
        <w:t>五、结论或建议</w:t>
      </w:r>
    </w:p>
    <w:p w14:paraId="3A2740EA">
      <w:pPr>
        <w:spacing w:line="288" w:lineRule="auto"/>
        <w:ind w:firstLine="480" w:firstLineChars="200"/>
        <w:rPr>
          <w:rFonts w:ascii="宋体" w:hAnsi="宋体"/>
          <w:sz w:val="24"/>
        </w:rPr>
      </w:pPr>
      <w:r>
        <w:rPr>
          <w:rFonts w:hint="eastAsia" w:ascii="宋体" w:hAnsi="宋体"/>
          <w:sz w:val="24"/>
        </w:rPr>
        <w:t>附件：１、预算书</w:t>
      </w:r>
    </w:p>
    <w:p w14:paraId="42E4F3D6">
      <w:pPr>
        <w:spacing w:line="288" w:lineRule="auto"/>
        <w:rPr>
          <w:rFonts w:ascii="宋体"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NDRiZTUwODIzY2VhNDZlN2MyYWZmYzNiZDc2OGYifQ=="/>
  </w:docVars>
  <w:rsids>
    <w:rsidRoot w:val="003F7F2B"/>
    <w:rsid w:val="00015E44"/>
    <w:rsid w:val="00021B18"/>
    <w:rsid w:val="00023AFF"/>
    <w:rsid w:val="0005548F"/>
    <w:rsid w:val="000A2D43"/>
    <w:rsid w:val="000B0096"/>
    <w:rsid w:val="0021300C"/>
    <w:rsid w:val="00232A20"/>
    <w:rsid w:val="00236E7D"/>
    <w:rsid w:val="0025321B"/>
    <w:rsid w:val="00281634"/>
    <w:rsid w:val="002D0FD5"/>
    <w:rsid w:val="002E5317"/>
    <w:rsid w:val="003E3437"/>
    <w:rsid w:val="003F73F8"/>
    <w:rsid w:val="003F7F2B"/>
    <w:rsid w:val="00430D22"/>
    <w:rsid w:val="004620E5"/>
    <w:rsid w:val="004A015F"/>
    <w:rsid w:val="004B1A01"/>
    <w:rsid w:val="004F3A00"/>
    <w:rsid w:val="00514339"/>
    <w:rsid w:val="00542B74"/>
    <w:rsid w:val="0054387B"/>
    <w:rsid w:val="00591F23"/>
    <w:rsid w:val="0068007D"/>
    <w:rsid w:val="006C2D05"/>
    <w:rsid w:val="006C6507"/>
    <w:rsid w:val="00705036"/>
    <w:rsid w:val="00711613"/>
    <w:rsid w:val="007444ED"/>
    <w:rsid w:val="00751FCF"/>
    <w:rsid w:val="00801E6A"/>
    <w:rsid w:val="00820FEB"/>
    <w:rsid w:val="008216AD"/>
    <w:rsid w:val="00872B40"/>
    <w:rsid w:val="008853C1"/>
    <w:rsid w:val="008E0901"/>
    <w:rsid w:val="00942F9B"/>
    <w:rsid w:val="00983CCE"/>
    <w:rsid w:val="00995C26"/>
    <w:rsid w:val="009A24BF"/>
    <w:rsid w:val="009F3E18"/>
    <w:rsid w:val="00A00C1F"/>
    <w:rsid w:val="00AE484D"/>
    <w:rsid w:val="00B264C6"/>
    <w:rsid w:val="00B75807"/>
    <w:rsid w:val="00B827DC"/>
    <w:rsid w:val="00B85049"/>
    <w:rsid w:val="00C81115"/>
    <w:rsid w:val="00C81CEA"/>
    <w:rsid w:val="00C84E95"/>
    <w:rsid w:val="00CA4163"/>
    <w:rsid w:val="00CC1AC7"/>
    <w:rsid w:val="00CD2163"/>
    <w:rsid w:val="00CE1273"/>
    <w:rsid w:val="00D00474"/>
    <w:rsid w:val="00D64E17"/>
    <w:rsid w:val="00D94FB4"/>
    <w:rsid w:val="00DA607E"/>
    <w:rsid w:val="00DB5F00"/>
    <w:rsid w:val="00DF25FF"/>
    <w:rsid w:val="00E055C3"/>
    <w:rsid w:val="00E328BB"/>
    <w:rsid w:val="00EA0771"/>
    <w:rsid w:val="00EB2A73"/>
    <w:rsid w:val="00ED52E6"/>
    <w:rsid w:val="00EE3FC2"/>
    <w:rsid w:val="00EE6C3B"/>
    <w:rsid w:val="00F0659A"/>
    <w:rsid w:val="00F96E42"/>
    <w:rsid w:val="00FD113F"/>
    <w:rsid w:val="022F1C5C"/>
    <w:rsid w:val="02A23DA7"/>
    <w:rsid w:val="03725162"/>
    <w:rsid w:val="05612BB7"/>
    <w:rsid w:val="06BF1064"/>
    <w:rsid w:val="06BF2770"/>
    <w:rsid w:val="087247E1"/>
    <w:rsid w:val="09221255"/>
    <w:rsid w:val="0AD1632E"/>
    <w:rsid w:val="0B1A7CC0"/>
    <w:rsid w:val="0CD619C5"/>
    <w:rsid w:val="0CDE053F"/>
    <w:rsid w:val="0EAF25E5"/>
    <w:rsid w:val="0EDD3455"/>
    <w:rsid w:val="0F0B77FD"/>
    <w:rsid w:val="110A3E84"/>
    <w:rsid w:val="128B7FDB"/>
    <w:rsid w:val="14086D07"/>
    <w:rsid w:val="14C842E9"/>
    <w:rsid w:val="15BB3500"/>
    <w:rsid w:val="16AD150D"/>
    <w:rsid w:val="173B5F47"/>
    <w:rsid w:val="19F636A6"/>
    <w:rsid w:val="1AD87DAA"/>
    <w:rsid w:val="1C4E0C19"/>
    <w:rsid w:val="1CE72BA6"/>
    <w:rsid w:val="1D8B2357"/>
    <w:rsid w:val="1F881244"/>
    <w:rsid w:val="204614CB"/>
    <w:rsid w:val="21601A4E"/>
    <w:rsid w:val="23800163"/>
    <w:rsid w:val="23BE5E4D"/>
    <w:rsid w:val="23F14706"/>
    <w:rsid w:val="2445253D"/>
    <w:rsid w:val="24FE2652"/>
    <w:rsid w:val="26DF229D"/>
    <w:rsid w:val="27DC3BFB"/>
    <w:rsid w:val="281920CB"/>
    <w:rsid w:val="287D51AE"/>
    <w:rsid w:val="29295305"/>
    <w:rsid w:val="29785E86"/>
    <w:rsid w:val="2BD9496E"/>
    <w:rsid w:val="2BF37A45"/>
    <w:rsid w:val="2DEB0A65"/>
    <w:rsid w:val="2FD9328A"/>
    <w:rsid w:val="31C46EE1"/>
    <w:rsid w:val="35E34569"/>
    <w:rsid w:val="35F03ECE"/>
    <w:rsid w:val="36C23C6C"/>
    <w:rsid w:val="36E17D73"/>
    <w:rsid w:val="37751C91"/>
    <w:rsid w:val="3A59760D"/>
    <w:rsid w:val="3C3420E0"/>
    <w:rsid w:val="3D0F66A9"/>
    <w:rsid w:val="3D830ED4"/>
    <w:rsid w:val="3FDA336A"/>
    <w:rsid w:val="40925627"/>
    <w:rsid w:val="430517D3"/>
    <w:rsid w:val="434E2097"/>
    <w:rsid w:val="43771952"/>
    <w:rsid w:val="437C4A8F"/>
    <w:rsid w:val="467C5AAF"/>
    <w:rsid w:val="47601593"/>
    <w:rsid w:val="4AEA6F67"/>
    <w:rsid w:val="4C432F8A"/>
    <w:rsid w:val="4CB42BBE"/>
    <w:rsid w:val="4CB52A3C"/>
    <w:rsid w:val="4D3F585D"/>
    <w:rsid w:val="4E6419AA"/>
    <w:rsid w:val="4F875762"/>
    <w:rsid w:val="504D0290"/>
    <w:rsid w:val="509C591E"/>
    <w:rsid w:val="54DE4B4D"/>
    <w:rsid w:val="55922904"/>
    <w:rsid w:val="567710EF"/>
    <w:rsid w:val="57140F42"/>
    <w:rsid w:val="58967038"/>
    <w:rsid w:val="58B12C01"/>
    <w:rsid w:val="593865FF"/>
    <w:rsid w:val="5BA73B5A"/>
    <w:rsid w:val="5C11322F"/>
    <w:rsid w:val="5C966047"/>
    <w:rsid w:val="5D722610"/>
    <w:rsid w:val="5DC95B9F"/>
    <w:rsid w:val="5F7D71F9"/>
    <w:rsid w:val="616B7AA3"/>
    <w:rsid w:val="62513FBE"/>
    <w:rsid w:val="67C92C18"/>
    <w:rsid w:val="69326C97"/>
    <w:rsid w:val="69A43BAF"/>
    <w:rsid w:val="6A4712D6"/>
    <w:rsid w:val="6A7527F2"/>
    <w:rsid w:val="6E5673E4"/>
    <w:rsid w:val="6ECE6E15"/>
    <w:rsid w:val="6ED37C53"/>
    <w:rsid w:val="6F3B1D13"/>
    <w:rsid w:val="705518A1"/>
    <w:rsid w:val="70B4022C"/>
    <w:rsid w:val="70DA687E"/>
    <w:rsid w:val="71C8684B"/>
    <w:rsid w:val="75A36712"/>
    <w:rsid w:val="764E0B99"/>
    <w:rsid w:val="76856AB9"/>
    <w:rsid w:val="774E77F3"/>
    <w:rsid w:val="78014865"/>
    <w:rsid w:val="78200588"/>
    <w:rsid w:val="78494FAE"/>
    <w:rsid w:val="79127792"/>
    <w:rsid w:val="79FE0992"/>
    <w:rsid w:val="7AD35A1C"/>
    <w:rsid w:val="7B1229F1"/>
    <w:rsid w:val="7C2D0147"/>
    <w:rsid w:val="7EDE048D"/>
    <w:rsid w:val="7EE56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0" w:lineRule="atLeast"/>
      <w:jc w:val="center"/>
    </w:pPr>
    <w:rPr>
      <w:sz w:val="28"/>
      <w:szCs w:val="20"/>
    </w:rPr>
  </w:style>
  <w:style w:type="paragraph" w:styleId="3">
    <w:name w:val="Body Text First Indent"/>
    <w:basedOn w:val="2"/>
    <w:next w:val="4"/>
    <w:qFormat/>
    <w:uiPriority w:val="0"/>
    <w:pPr>
      <w:spacing w:after="120"/>
      <w:ind w:firstLine="420" w:firstLineChars="100"/>
    </w:pPr>
  </w:style>
  <w:style w:type="paragraph" w:styleId="4">
    <w:name w:val="toc 6"/>
    <w:basedOn w:val="1"/>
    <w:next w:val="1"/>
    <w:qFormat/>
    <w:uiPriority w:val="1"/>
    <w:pPr>
      <w:spacing w:before="81"/>
      <w:ind w:left="864"/>
    </w:pPr>
    <w:rPr>
      <w:rFonts w:ascii="宋体" w:hAnsi="宋体" w:cs="宋体"/>
      <w:sz w:val="18"/>
      <w:szCs w:val="18"/>
    </w:rPr>
  </w:style>
  <w:style w:type="paragraph" w:styleId="5">
    <w:name w:val="Plain Text"/>
    <w:basedOn w:val="1"/>
    <w:qFormat/>
    <w:uiPriority w:val="0"/>
    <w:rPr>
      <w:rFonts w:ascii="宋体" w:hAnsi="Courier New" w:cs="Courier New"/>
      <w:szCs w:val="21"/>
    </w:rPr>
  </w:style>
  <w:style w:type="paragraph" w:styleId="6">
    <w:name w:val="Balloon Text"/>
    <w:basedOn w:val="1"/>
    <w:link w:val="13"/>
    <w:qFormat/>
    <w:uiPriority w:val="0"/>
    <w:rPr>
      <w:sz w:val="18"/>
      <w:szCs w:val="18"/>
    </w:rPr>
  </w:style>
  <w:style w:type="paragraph" w:styleId="7">
    <w:name w:val="footer"/>
    <w:basedOn w:val="1"/>
    <w:link w:val="12"/>
    <w:qFormat/>
    <w:uiPriority w:val="0"/>
    <w:pPr>
      <w:tabs>
        <w:tab w:val="center" w:pos="4153"/>
        <w:tab w:val="right" w:pos="8306"/>
      </w:tabs>
      <w:snapToGrid w:val="0"/>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 w:type="character" w:customStyle="1" w:styleId="13">
    <w:name w:val="批注框文本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1831</Words>
  <Characters>2074</Characters>
  <Lines>16</Lines>
  <Paragraphs>4</Paragraphs>
  <TotalTime>14</TotalTime>
  <ScaleCrop>false</ScaleCrop>
  <LinksUpToDate>false</LinksUpToDate>
  <CharactersWithSpaces>2488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2019-12-20T07:43:00Z</dcterms:created>
  <dc:creator>Administrator</dc:creator>
  <cp:lastModifiedBy>WIN10</cp:lastModifiedBy>
  <cp:lastPrinted>2023-01-12T08:36:00Z</cp:lastPrinted>
  <dcterms:modified xsi:type="dcterms:W3CDTF">2024-10-24T07:29:03Z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184952BEC7874212983F44105DE282F8</vt:lpwstr>
  </property>
</Properties>
</file>